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2020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7377D0">
        <w:t>1 квартал 2020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7377D0">
        <w:t>1 квартал 2020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8E6CCA">
        <w:t>1</w:t>
      </w:r>
      <w:r>
        <w:t xml:space="preserve"> Плана работы Контрольно-счетной палаты Талдо</w:t>
      </w:r>
      <w:r w:rsidR="008E6CCA">
        <w:t>мского городского округа на 2020</w:t>
      </w:r>
      <w:r>
        <w:t xml:space="preserve"> год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12.05.2020 г. </w:t>
      </w:r>
      <w:r w:rsidR="008E6CCA" w:rsidRPr="00A45DBD">
        <w:t>№</w:t>
      </w:r>
      <w:r w:rsidR="00A45DBD" w:rsidRPr="00A45DBD">
        <w:t>12 от 12 мая 2020 г</w:t>
      </w:r>
      <w:r w:rsidRPr="00A45DBD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B8018B" w:rsidRPr="00101FC6">
        <w:t>1 квартал</w:t>
      </w:r>
      <w:r w:rsidR="00101FC6" w:rsidRPr="00101FC6">
        <w:t xml:space="preserve"> </w:t>
      </w:r>
      <w:r w:rsidR="00B8018B" w:rsidRPr="00101FC6">
        <w:t>2020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17.04.2020</w:t>
      </w:r>
      <w:r w:rsidRPr="00101FC6">
        <w:t xml:space="preserve"> №</w:t>
      </w:r>
      <w:r w:rsidR="00101FC6" w:rsidRPr="00101FC6">
        <w:t>647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101FC6" w:rsidRPr="00101FC6">
        <w:t xml:space="preserve"> 20.04.2020 г.</w:t>
      </w:r>
      <w:r w:rsidR="00B8018B" w:rsidRPr="00101FC6">
        <w:t xml:space="preserve"> 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B69BF">
        <w:t>6</w:t>
      </w:r>
      <w:r>
        <w:t>.1</w:t>
      </w:r>
      <w:r w:rsidR="00511B3D">
        <w:t>2</w:t>
      </w:r>
      <w:r>
        <w:t>.201</w:t>
      </w:r>
      <w:r w:rsidR="006B69BF">
        <w:t>9</w:t>
      </w:r>
      <w:r>
        <w:t xml:space="preserve"> №</w:t>
      </w:r>
      <w:r w:rsidR="006B69BF">
        <w:t>110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2020</w:t>
      </w:r>
      <w:r>
        <w:t xml:space="preserve"> год и плановый период 20</w:t>
      </w:r>
      <w:r w:rsidR="006B69BF">
        <w:t>21</w:t>
      </w:r>
      <w:r>
        <w:t xml:space="preserve"> и 202</w:t>
      </w:r>
      <w:r w:rsidR="006B69BF">
        <w:t>2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2020</w:t>
      </w:r>
      <w:r>
        <w:t xml:space="preserve"> год и плановый период </w:t>
      </w:r>
      <w:r w:rsidR="006B69BF">
        <w:t>2021</w:t>
      </w:r>
      <w:r>
        <w:t xml:space="preserve"> и </w:t>
      </w:r>
      <w:r w:rsidR="006B69BF">
        <w:t>2022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B42BF5">
        <w:t>1 квартал 2020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2020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FA2885">
        <w:t>2 925 522</w:t>
      </w:r>
      <w:r w:rsidR="005D2F24">
        <w:t>,80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D2F24">
        <w:t>1 813 726,80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2 944 475,83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lastRenderedPageBreak/>
        <w:t>дефицит бюджета Талдомско</w:t>
      </w:r>
      <w:r w:rsidR="005D2F24">
        <w:t>го городского округа – 18 953,03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 март 2020</w:t>
      </w:r>
      <w:r w:rsidR="00C8081C">
        <w:t xml:space="preserve"> г.</w:t>
      </w:r>
      <w:r w:rsidR="00FE7F99">
        <w:t xml:space="preserve"> </w:t>
      </w:r>
      <w:r>
        <w:t xml:space="preserve">изменения вносились </w:t>
      </w:r>
      <w:r w:rsidR="00B97395" w:rsidRPr="00B97395">
        <w:t>1</w:t>
      </w:r>
      <w:r w:rsidRPr="00B97395">
        <w:t xml:space="preserve"> раз</w:t>
      </w:r>
      <w:r w:rsidR="00B97395">
        <w:t xml:space="preserve"> Решением</w:t>
      </w:r>
      <w:r>
        <w:t xml:space="preserve"> Совета депутатов </w:t>
      </w:r>
      <w:r w:rsidR="002852EE">
        <w:t>Талдомского городского округа</w:t>
      </w:r>
      <w:r w:rsidR="00B97395">
        <w:t xml:space="preserve"> от 12</w:t>
      </w:r>
      <w:r w:rsidR="002852EE" w:rsidRPr="002852EE">
        <w:t>.02.</w:t>
      </w:r>
      <w:r w:rsidR="00B97395">
        <w:t>2020</w:t>
      </w:r>
      <w:r w:rsidR="002852EE" w:rsidRPr="002852EE">
        <w:t xml:space="preserve"> №1</w:t>
      </w:r>
      <w:r w:rsidR="00B97395">
        <w:t>1.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2020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2 930 956,10</w:t>
      </w:r>
      <w:r w:rsidR="00215935">
        <w:t xml:space="preserve"> </w:t>
      </w:r>
      <w:r>
        <w:t xml:space="preserve">тыс. рублей, по расходам </w:t>
      </w:r>
      <w:r w:rsidR="000225A7">
        <w:t>3 048 071,999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117 115,899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.201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2020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решения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2.2020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B97395"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FA288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925 522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,80</w:t>
            </w:r>
          </w:p>
        </w:tc>
        <w:tc>
          <w:tcPr>
            <w:tcW w:w="3118" w:type="dxa"/>
          </w:tcPr>
          <w:p w:rsidR="009614F8" w:rsidRPr="00E053D4" w:rsidRDefault="004F035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225A7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930 956,10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FA288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5 433</w:t>
            </w:r>
            <w:r w:rsidR="00A45DB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,30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614F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944 475,83</w:t>
            </w:r>
          </w:p>
        </w:tc>
        <w:tc>
          <w:tcPr>
            <w:tcW w:w="3118" w:type="dxa"/>
          </w:tcPr>
          <w:p w:rsidR="009614F8" w:rsidRPr="00E053D4" w:rsidRDefault="000225A7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3 048 071,999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A45DB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103 596,169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18 953,03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4F0352"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0225A7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17 115,899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A45DB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98 162,869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>нием от 12</w:t>
      </w:r>
      <w:r>
        <w:t>.0</w:t>
      </w:r>
      <w:r w:rsidR="009F52E7">
        <w:t>2.2020</w:t>
      </w:r>
      <w:r>
        <w:t xml:space="preserve"> г. №</w:t>
      </w:r>
      <w:r w:rsidR="009F52E7">
        <w:t>11</w:t>
      </w:r>
      <w:r>
        <w:t xml:space="preserve"> дефицит бюджета установлен в </w:t>
      </w:r>
      <w:r w:rsidRPr="00CF5B4C">
        <w:t xml:space="preserve">размере </w:t>
      </w:r>
      <w:r w:rsidR="00CF5B4C" w:rsidRPr="00CF5B4C">
        <w:t>10</w:t>
      </w:r>
      <w:r w:rsidR="00CF5B4C">
        <w:t>,53</w:t>
      </w:r>
      <w:r>
        <w:t>% от доходов бюджета без учета финансовой помощи из других бюджетов бюджетной системы РФ (2</w:t>
      </w:r>
      <w:r w:rsidR="009F52E7">
        <w:t xml:space="preserve">930956,10 </w:t>
      </w:r>
      <w:r>
        <w:t xml:space="preserve">–  </w:t>
      </w:r>
      <w:r w:rsidR="009F52E7">
        <w:t>1 819 160,10</w:t>
      </w:r>
      <w:r>
        <w:t xml:space="preserve">= </w:t>
      </w:r>
      <w:r w:rsidR="00CF5B4C" w:rsidRPr="00CF5B4C">
        <w:t>1111796,0</w:t>
      </w:r>
      <w:r w:rsidRPr="00CF5B4C">
        <w:t>; 1</w:t>
      </w:r>
      <w:r w:rsidR="009F52E7" w:rsidRPr="00CF5B4C">
        <w:t>17 115,899</w:t>
      </w:r>
      <w:r w:rsidRPr="00CF5B4C">
        <w:t xml:space="preserve"> : </w:t>
      </w:r>
      <w:r w:rsidR="00CF5B4C" w:rsidRPr="00CF5B4C">
        <w:t>1111796</w:t>
      </w:r>
      <w:r w:rsidRPr="00CF5B4C">
        <w:t xml:space="preserve">,0  х 100 = </w:t>
      </w:r>
      <w:r w:rsidR="00CF5B4C" w:rsidRPr="00CF5B4C">
        <w:t>10,53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5000,0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>ем от 12</w:t>
      </w:r>
      <w:r w:rsidR="008745D8">
        <w:t>.0</w:t>
      </w:r>
      <w:r w:rsidR="001A4C17">
        <w:t>2.2020</w:t>
      </w:r>
      <w:r w:rsidR="008745D8">
        <w:t xml:space="preserve"> г. №</w:t>
      </w:r>
      <w:r w:rsidR="001A4C17">
        <w:t>11</w:t>
      </w:r>
      <w:r>
        <w:t>, соответствует ст. 92.1 БК РФ (абзац 3 п. 3 ст. 92.1).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bookmarkStart w:id="6" w:name="_GoBack"/>
      <w:bookmarkEnd w:id="6"/>
      <w:r>
        <w:t xml:space="preserve">Согласно данным </w:t>
      </w:r>
      <w:r w:rsidR="008745D8">
        <w:t xml:space="preserve">Отчета об исполнении бюджета за </w:t>
      </w:r>
      <w:r w:rsidR="00A61992">
        <w:t>1 квартал 2020</w:t>
      </w:r>
      <w:r w:rsidR="008745D8">
        <w:t xml:space="preserve"> г. </w:t>
      </w:r>
      <w:r>
        <w:t>бюджет по доходам исполнен на 01.</w:t>
      </w:r>
      <w:r w:rsidR="00A61992">
        <w:t>04.2020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A61992">
        <w:t>508679,236</w:t>
      </w:r>
      <w:r>
        <w:t xml:space="preserve"> тыс. рублей или </w:t>
      </w:r>
      <w:r w:rsidR="00A61992">
        <w:t>17,4</w:t>
      </w:r>
      <w:r>
        <w:t>% к утвержденны</w:t>
      </w:r>
      <w:r w:rsidR="00A61992">
        <w:t>м назначениям 2020</w:t>
      </w:r>
      <w:r>
        <w:t xml:space="preserve"> года, по расходам исполнение на 01.</w:t>
      </w:r>
      <w:r w:rsidR="00A61992">
        <w:t>04.2020</w:t>
      </w:r>
      <w:r>
        <w:t xml:space="preserve"> год составило </w:t>
      </w:r>
      <w:r w:rsidR="00A61992">
        <w:t>446952,117</w:t>
      </w:r>
      <w:r w:rsidR="00E244DB">
        <w:t xml:space="preserve"> </w:t>
      </w:r>
      <w:r>
        <w:t xml:space="preserve">тыс. рублей или </w:t>
      </w:r>
      <w:r w:rsidR="007A1D3F">
        <w:t>15</w:t>
      </w:r>
      <w:r w:rsidR="00E244DB">
        <w:t>,3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D80AA5">
        <w:t>1 квартал 2020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D80AA5">
        <w:t>61727,119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 xml:space="preserve"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</w:t>
      </w:r>
      <w:r>
        <w:lastRenderedPageBreak/>
        <w:t>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7" w:name="bookmark8"/>
      <w:r>
        <w:t>Исполнение доходной части бюджета</w:t>
      </w:r>
      <w:bookmarkEnd w:id="7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2020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26.12.2019 г. №110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2020</w:t>
      </w:r>
      <w:r>
        <w:t xml:space="preserve"> год и плановый период 20</w:t>
      </w:r>
      <w:r w:rsidR="003D035E">
        <w:t>21</w:t>
      </w:r>
      <w:r>
        <w:t xml:space="preserve"> и 202</w:t>
      </w:r>
      <w:r w:rsidR="003D035E">
        <w:t>2</w:t>
      </w:r>
      <w:r>
        <w:t xml:space="preserve"> годов» в объеме </w:t>
      </w:r>
      <w:r w:rsidR="003D035E">
        <w:t>2 925 522,80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Доходная часть бюджета изменилась в сторону увеличения на </w:t>
      </w:r>
      <w:r w:rsidR="003D035E">
        <w:t>5433,30</w:t>
      </w:r>
      <w:r>
        <w:t xml:space="preserve"> тыс. рублей за счет увеличения межбюджетных трансфертов, передаваемых бюджету </w:t>
      </w:r>
      <w:r w:rsidR="006A4C5C">
        <w:t>Талдомского городского округа</w:t>
      </w:r>
      <w:r>
        <w:t xml:space="preserve"> из бюджета Московской области (субсидии, субвенции</w:t>
      </w:r>
      <w:r w:rsidR="00CE7582">
        <w:t>, иные межбюджетные трансферты</w:t>
      </w:r>
      <w:r>
        <w:t>)</w:t>
      </w:r>
      <w:r w:rsidR="00FB4297">
        <w:t>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A053C3">
        <w:t>1 квартал 2020</w:t>
      </w:r>
      <w:r>
        <w:t xml:space="preserve"> года выполнен на </w:t>
      </w:r>
      <w:r w:rsidR="00AD5624">
        <w:t>19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AD5624">
        <w:t>196778,843</w:t>
      </w:r>
      <w:r>
        <w:t xml:space="preserve"> тыс. рублей. План по неналоговым доходам выполнен на</w:t>
      </w:r>
      <w:r w:rsidR="00AD5624">
        <w:t xml:space="preserve"> 18,5</w:t>
      </w:r>
      <w:r>
        <w:t xml:space="preserve">%, в бюджет поступило </w:t>
      </w:r>
      <w:r w:rsidR="00AD5624">
        <w:t>14606,479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CC70C5">
        <w:t>1 квартал 2020</w:t>
      </w:r>
      <w:r>
        <w:t xml:space="preserve"> год выполнена на</w:t>
      </w:r>
      <w:r w:rsidR="00CC70C5">
        <w:t xml:space="preserve"> 17,4</w:t>
      </w:r>
      <w:r>
        <w:t xml:space="preserve">% и составила </w:t>
      </w:r>
      <w:r w:rsidR="00CC70C5">
        <w:t>508679,236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 </w:t>
      </w:r>
      <w:r w:rsidR="00CC70C5">
        <w:t>1 квартал 2020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1 квартал</w:t>
      </w:r>
      <w:r>
        <w:t xml:space="preserve"> 201</w:t>
      </w:r>
      <w:r w:rsidR="00CC70C5">
        <w:t>9</w:t>
      </w:r>
      <w:r>
        <w:t xml:space="preserve"> года </w:t>
      </w:r>
      <w:r w:rsidRPr="001620DE">
        <w:t>(</w:t>
      </w:r>
      <w:r w:rsidR="00CC70C5">
        <w:t>438130,562</w:t>
      </w:r>
      <w:r w:rsidR="001620DE">
        <w:t xml:space="preserve"> </w:t>
      </w:r>
      <w:r>
        <w:t xml:space="preserve">тыс. рублей) увеличилась на </w:t>
      </w:r>
      <w:r w:rsidR="007B1C8D">
        <w:t>16,1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8" w:name="bookmark9"/>
      <w:r>
        <w:t>Налоговые доходы</w:t>
      </w:r>
      <w:bookmarkEnd w:id="8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7B1C8D">
        <w:t>1 квартал 2020</w:t>
      </w:r>
      <w:r>
        <w:t xml:space="preserve"> года поступили в сумме </w:t>
      </w:r>
      <w:r w:rsidR="007B1C8D">
        <w:t>196</w:t>
      </w:r>
      <w:r w:rsidR="00A157AB">
        <w:t xml:space="preserve"> </w:t>
      </w:r>
      <w:r w:rsidR="007B1C8D">
        <w:t>778,843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FA7F5C">
        <w:t>3</w:t>
      </w:r>
      <w:r w:rsidR="007B1C8D">
        <w:t>8,7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 1 квартал 2020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151 182,596</w:t>
      </w:r>
      <w:r>
        <w:t xml:space="preserve"> тыс. рублей, что составило </w:t>
      </w:r>
      <w:r w:rsidR="005F3A64">
        <w:t>76,</w:t>
      </w:r>
      <w:r w:rsidR="007B1C8D">
        <w:t>8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9 555,713</w:t>
      </w:r>
      <w:r>
        <w:t xml:space="preserve"> тыс. рублей, что составило </w:t>
      </w:r>
      <w:r w:rsidR="007B1C8D">
        <w:t>4,9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16 820,595</w:t>
      </w:r>
      <w:r>
        <w:t xml:space="preserve"> тыс. рублей, что составило </w:t>
      </w:r>
      <w:r w:rsidR="007B1C8D">
        <w:t>8,5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7B1C8D">
        <w:t>2 564,212</w:t>
      </w:r>
      <w:r w:rsidR="00D45539">
        <w:t xml:space="preserve"> тыс. рублей, что составило </w:t>
      </w:r>
      <w:r w:rsidR="00FB16D5">
        <w:t>1</w:t>
      </w:r>
      <w:r w:rsidR="007B1C8D">
        <w:t>,3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7B1C8D">
        <w:t>14 598,077</w:t>
      </w:r>
      <w:r>
        <w:t xml:space="preserve"> тыс. рублей, что составило 7,</w:t>
      </w:r>
      <w:r w:rsidR="007B1C8D">
        <w:t>4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7B1C8D">
        <w:t>2 057,055</w:t>
      </w:r>
      <w:r>
        <w:t xml:space="preserve"> тыс. рублей, что составило </w:t>
      </w:r>
      <w:r w:rsidR="00A157AB">
        <w:t>1,0</w:t>
      </w:r>
      <w:r>
        <w:t>% налоговых поступлений</w:t>
      </w:r>
      <w:r w:rsidR="0017140F">
        <w:t>;</w:t>
      </w:r>
    </w:p>
    <w:p w:rsidR="0017140F" w:rsidRDefault="0017140F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</w:t>
      </w:r>
      <w:r w:rsidR="00A157AB">
        <w:t>и иным обязательным платежам – 0,593</w:t>
      </w:r>
      <w:r>
        <w:t xml:space="preserve"> тыс. рублей, что составило 0,003% 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A157AB">
        <w:t>1-го квартала</w:t>
      </w:r>
      <w:r w:rsidR="0017140F">
        <w:t xml:space="preserve"> 2</w:t>
      </w:r>
      <w:r w:rsidR="00A157AB">
        <w:t>020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A157AB">
        <w:t>151 182,596</w:t>
      </w:r>
      <w:r>
        <w:t xml:space="preserve"> тыс. рублей, удельный вес которого в сумме налоговых поступлений составил </w:t>
      </w:r>
      <w:r w:rsidR="0017140F">
        <w:t>76,</w:t>
      </w:r>
      <w:r w:rsidR="00A157AB">
        <w:t>8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>за 1 квартал 2020</w:t>
      </w:r>
      <w:r>
        <w:t xml:space="preserve"> года по сравнению с </w:t>
      </w:r>
      <w:r w:rsidR="00A157AB">
        <w:t>1 кварталом</w:t>
      </w:r>
      <w:r>
        <w:t xml:space="preserve"> 201</w:t>
      </w:r>
      <w:r w:rsidR="00A157AB">
        <w:t>9</w:t>
      </w:r>
      <w:r>
        <w:t xml:space="preserve"> года у</w:t>
      </w:r>
      <w:r w:rsidR="00507098">
        <w:t>величились</w:t>
      </w:r>
      <w:r>
        <w:t xml:space="preserve"> на </w:t>
      </w:r>
      <w:r w:rsidR="00A157AB">
        <w:t>20,1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9" w:name="bookmark10"/>
      <w:r>
        <w:t>Неналоговые доходы</w:t>
      </w:r>
      <w:bookmarkEnd w:id="9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127402">
        <w:t>26.12.2019 г. №110</w:t>
      </w:r>
      <w:r>
        <w:t xml:space="preserve"> «О бюджете </w:t>
      </w:r>
      <w:r w:rsidR="00BD698D">
        <w:t>Талдомского городского округа</w:t>
      </w:r>
      <w:r w:rsidR="00A157AB">
        <w:t xml:space="preserve"> Московской области на 2020</w:t>
      </w:r>
      <w:r w:rsidR="00BD698D">
        <w:t xml:space="preserve"> </w:t>
      </w:r>
      <w:r>
        <w:t xml:space="preserve"> год и плановый период 20</w:t>
      </w:r>
      <w:r w:rsidR="00A157AB">
        <w:t>21</w:t>
      </w:r>
      <w:r>
        <w:t xml:space="preserve"> и 202</w:t>
      </w:r>
      <w:r w:rsidR="00A157AB">
        <w:t>2</w:t>
      </w:r>
      <w:r>
        <w:t xml:space="preserve"> годов» (с изменениями и дополнениями) неналоговые доходы </w:t>
      </w:r>
      <w:r>
        <w:lastRenderedPageBreak/>
        <w:t xml:space="preserve">бюджета </w:t>
      </w:r>
      <w:r w:rsidR="00BD698D">
        <w:t>городского округа</w:t>
      </w:r>
      <w:r w:rsidR="00127402">
        <w:t xml:space="preserve"> на 2020</w:t>
      </w:r>
      <w:r>
        <w:t xml:space="preserve"> год утверждены в сумме </w:t>
      </w:r>
      <w:r w:rsidR="00127402">
        <w:t>78 820</w:t>
      </w:r>
      <w:r w:rsidR="003D570D">
        <w:t>,0</w:t>
      </w:r>
      <w:r>
        <w:t xml:space="preserve"> тыс. рублей. По данным отчета за </w:t>
      </w:r>
      <w:r w:rsidR="00127402">
        <w:t>1 квартал</w:t>
      </w:r>
      <w:r w:rsidR="00296BD8">
        <w:t xml:space="preserve"> </w:t>
      </w:r>
      <w:r w:rsidR="00127402">
        <w:t>2020</w:t>
      </w:r>
      <w:r>
        <w:t xml:space="preserve"> года неналоговые доходы исполнены на 01.</w:t>
      </w:r>
      <w:r w:rsidR="00127402">
        <w:t>04.2020</w:t>
      </w:r>
      <w:r>
        <w:t xml:space="preserve"> в сумме </w:t>
      </w:r>
      <w:r w:rsidR="00127402">
        <w:t>14 606,479</w:t>
      </w:r>
      <w:r>
        <w:t xml:space="preserve"> тыс. рублей или </w:t>
      </w:r>
      <w:r w:rsidR="00127402">
        <w:t>18,5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127402">
        <w:t>2,9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За </w:t>
      </w:r>
      <w:r w:rsidR="00127402">
        <w:t>1 квартал 2020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8 491,038</w:t>
      </w:r>
      <w:r>
        <w:t xml:space="preserve"> тыс. рублей, что составило </w:t>
      </w:r>
      <w:r w:rsidR="00C2048D">
        <w:t>5</w:t>
      </w:r>
      <w:r w:rsidR="00127402">
        <w:t>8</w:t>
      </w:r>
      <w:r w:rsidR="000F5D93">
        <w:t>,1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61,881 </w:t>
      </w:r>
      <w:r>
        <w:t xml:space="preserve">тыс. рублей, что составило </w:t>
      </w:r>
      <w:r w:rsidR="00127402">
        <w:t>0,4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>
        <w:t>доход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3 263,85</w:t>
      </w:r>
      <w:r>
        <w:t xml:space="preserve"> тыс. рублей</w:t>
      </w:r>
      <w:r w:rsidR="00C2048D">
        <w:t xml:space="preserve">, что составило </w:t>
      </w:r>
      <w:r w:rsidR="00127402">
        <w:t>22,3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2 086,9</w:t>
      </w:r>
      <w:r w:rsidR="00993AA7">
        <w:t xml:space="preserve"> тыс. рублей, что составило </w:t>
      </w:r>
      <w:r w:rsidR="00127402">
        <w:t>14,3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702,799</w:t>
      </w:r>
      <w:r>
        <w:t xml:space="preserve"> тыс. рублей, что составило </w:t>
      </w:r>
      <w:r w:rsidR="00127402">
        <w:t>4</w:t>
      </w:r>
      <w:r w:rsidR="003C566C">
        <w:t>,</w:t>
      </w:r>
      <w:r w:rsidR="00127402">
        <w:t>8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0,011</w:t>
      </w:r>
      <w:r w:rsidR="00993AA7">
        <w:t xml:space="preserve"> тыс. рублей, что составило </w:t>
      </w:r>
      <w:r w:rsidR="003C566C">
        <w:t>0,</w:t>
      </w:r>
      <w:r w:rsidR="00F15362">
        <w:t>0</w:t>
      </w:r>
      <w:r>
        <w:t>001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0A094F">
        <w:t>1-го квартала 2020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8 491,038</w:t>
      </w:r>
      <w:r>
        <w:t xml:space="preserve"> тыс. рублей, удельный вес которого составил </w:t>
      </w:r>
      <w:r w:rsidR="003C566C">
        <w:t>5</w:t>
      </w:r>
      <w:r w:rsidR="000A094F">
        <w:t>8</w:t>
      </w:r>
      <w:r w:rsidR="003E6E03">
        <w:t>,1</w:t>
      </w:r>
      <w:r>
        <w:t>%.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>
        <w:t>1 квартал 2020</w:t>
      </w:r>
      <w:r w:rsidR="00993AA7">
        <w:t xml:space="preserve"> года по сравнению с </w:t>
      </w:r>
      <w:r>
        <w:t xml:space="preserve">1 кварталом </w:t>
      </w:r>
      <w:r w:rsidR="00993AA7">
        <w:t>201</w:t>
      </w:r>
      <w:r>
        <w:t xml:space="preserve">9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15673A">
        <w:t>52,7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0" w:name="bookmark11"/>
      <w:r>
        <w:t>Безвозмездные поступления</w:t>
      </w:r>
      <w:bookmarkEnd w:id="10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>За 1 квартал 2020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>
        <w:t>297 293,914</w:t>
      </w:r>
      <w:r w:rsidR="00993AA7">
        <w:t xml:space="preserve"> тыс. рублей безвозмездных поступлений или </w:t>
      </w:r>
      <w:r>
        <w:t>16,3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15673A">
        <w:t>80 881,749</w:t>
      </w:r>
      <w:r>
        <w:t xml:space="preserve"> тыс. рублей, что составило </w:t>
      </w:r>
      <w:r w:rsidR="001F5E4B">
        <w:t>27,2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1F5E4B">
        <w:t>47 716,714</w:t>
      </w:r>
      <w:r>
        <w:t xml:space="preserve"> тыс. рублей, что составило </w:t>
      </w:r>
      <w:r w:rsidR="00E83858">
        <w:t>1</w:t>
      </w:r>
      <w:r w:rsidR="001F5E4B">
        <w:t>6,1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1F5E4B">
        <w:t>173 852,016</w:t>
      </w:r>
      <w:r>
        <w:t xml:space="preserve"> тыс. рублей, что составило </w:t>
      </w:r>
      <w:r w:rsidR="001F5E4B">
        <w:t>58,5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1F5E4B">
        <w:t>0,0 тыс. рублей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 в сумме -</w:t>
      </w:r>
      <w:r w:rsidR="001F5E4B">
        <w:t>5 156,565</w:t>
      </w:r>
      <w:r>
        <w:t xml:space="preserve"> тыс. рублей, что составило -</w:t>
      </w:r>
      <w:r w:rsidR="001F5E4B">
        <w:t>1,7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1F5E4B">
        <w:t>1 квартал 2020 года,</w:t>
      </w:r>
      <w:r>
        <w:t xml:space="preserve"> по сравнению с</w:t>
      </w:r>
      <w:r w:rsidR="001F5E4B">
        <w:t xml:space="preserve"> 1 кварталом </w:t>
      </w:r>
      <w:r>
        <w:t>201</w:t>
      </w:r>
      <w:r w:rsidR="001F5E4B">
        <w:t>9</w:t>
      </w:r>
      <w:r>
        <w:t xml:space="preserve"> года </w:t>
      </w:r>
      <w:r w:rsidRPr="00C879B4">
        <w:t>(</w:t>
      </w:r>
      <w:r w:rsidR="001F5E4B">
        <w:t>264 696,678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1F5E4B">
        <w:t>32 597,236</w:t>
      </w:r>
      <w:r>
        <w:t xml:space="preserve"> тыс. рублей или на </w:t>
      </w:r>
      <w:r w:rsidR="001F5E4B">
        <w:t>1</w:t>
      </w:r>
      <w:r w:rsidR="00C879B4">
        <w:t>2</w:t>
      </w:r>
      <w:r w:rsidR="001F5E4B">
        <w:t>,3</w:t>
      </w:r>
      <w:r>
        <w:t xml:space="preserve"> %. </w:t>
      </w:r>
    </w:p>
    <w:p w:rsidR="00FA0B2E" w:rsidRDefault="00993AA7" w:rsidP="000A7CEB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>
        <w:lastRenderedPageBreak/>
        <w:t>Таблица 2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FA0B2E" w:rsidRPr="00FA0B2E" w:rsidTr="00B63702">
        <w:trPr>
          <w:trHeight w:hRule="exact" w:val="145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</w:t>
            </w:r>
            <w:r w:rsidR="001F5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2019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90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енный бюджет на 01.</w:t>
            </w:r>
            <w:r w:rsidR="001F5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04.2020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</w:t>
            </w:r>
            <w:r w:rsidR="001F5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2020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Динамика (рост/снижение) по отношению к </w:t>
            </w:r>
            <w:r w:rsidR="001F5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1-му кварталу 2019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Исполнено за </w:t>
            </w:r>
            <w:r w:rsidR="001F5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2020 г. к плану на 2020</w:t>
            </w: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г., %</w:t>
            </w:r>
          </w:p>
        </w:tc>
      </w:tr>
      <w:tr w:rsidR="00FA0B2E" w:rsidRPr="00FA0B2E" w:rsidTr="00B6370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177A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163 868,122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DB2E48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1 032 976,00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DB2E48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196 778,843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C9062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20,08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F26E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19,0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600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177A2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123 337,85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</w:t>
            </w:r>
            <w:r w:rsidR="00FA0B2E"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151 182,596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C9062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22,58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F26E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20,4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600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2E" w:rsidRPr="00FA0B2E" w:rsidRDefault="00B63702" w:rsidP="00177A2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10 245,001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42 </w:t>
            </w:r>
            <w:r w:rsidR="00315D9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</w:t>
            </w: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9 555,713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C9062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-6,73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F26E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22,3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11 411,157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</w:t>
            </w:r>
            <w:r w:rsidR="00315D9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6 176</w:t>
            </w: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16 820,595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64B4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47,40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F26E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22,1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1 296,136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26 800,00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2 564,212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64B4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97,84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0314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9,57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37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16 027,363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14 598,077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664B4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8,92</w:t>
            </w: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70314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10,4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1 541,871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</w:t>
            </w:r>
            <w:r w:rsidR="00FA0B2E"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2 057,055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64B4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33,41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DA3815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81,3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84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8,744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0,593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12202F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-93,22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A0B2E" w:rsidRPr="00FA0B2E" w:rsidTr="00B6370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9 565,762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CE2F7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78 820,00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CE2F7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14 606,479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12202F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52,7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EF270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18,5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83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4 610,105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46 217,00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8 491,038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12202F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84,18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EF270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18,4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03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344,38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61,881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12202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82,03</w:t>
            </w: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D30F0F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  <w:r w:rsidR="00EF270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,7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59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655,892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7 600,00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3 263,850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585AD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397,62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0004F7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42,9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32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2 744,693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21 900,00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2 086,900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</w:t>
            </w:r>
            <w:r w:rsidR="00E325A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3,97</w:t>
            </w: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9,5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8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755,744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2 300,00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702,799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0E4E8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7,01</w:t>
            </w: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30,6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454,948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</w:t>
            </w:r>
            <w:r w:rsidR="00FA0B2E"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315D99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="00564C9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  <w:r w:rsidR="00BB597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9,998</w:t>
            </w: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07DFB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="00F07D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0,4%</w:t>
            </w:r>
          </w:p>
        </w:tc>
      </w:tr>
      <w:tr w:rsidR="00FA0B2E" w:rsidRPr="00FA0B2E" w:rsidTr="00B6370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264 696,678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1 819 160,10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297 293,914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B597D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12,32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16,3</w:t>
            </w:r>
            <w:r w:rsidR="00FA0B2E" w:rsidRPr="002977A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133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268 575,32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1 819 160,10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302 450,479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E234E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12,61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16,6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58 400,751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323 527,00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80 881,749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A8155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38,49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45 647,919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704 781,10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47 716,714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A8155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4,53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6,8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164 526,649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789 852,00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173 852,016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9870B0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2,2</w:t>
            </w:r>
            <w:r w:rsidR="002977A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22,0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</w:tr>
      <w:tr w:rsidR="00FA0B2E" w:rsidRPr="00FA0B2E" w:rsidTr="00B63702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776B6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="00A8155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A8155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</w:tr>
      <w:tr w:rsidR="00FA0B2E" w:rsidRPr="00FA0B2E" w:rsidTr="00B63702">
        <w:trPr>
          <w:trHeight w:val="205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-3 878,641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604574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-5 156,565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A81553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32,95</w:t>
            </w:r>
            <w:r w:rsidR="00FA0B2E"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A0B2E" w:rsidRPr="00FA0B2E" w:rsidTr="00B63702">
        <w:trPr>
          <w:trHeight w:val="58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2E" w:rsidRPr="00FA0B2E" w:rsidRDefault="00FA0B2E" w:rsidP="00FA0B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B63702" w:rsidP="00FA0B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438 130,562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9A6446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2 930 956,100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9A6446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508 679,</w:t>
            </w:r>
            <w:r w:rsidR="000F51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266236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16,1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2E" w:rsidRPr="00FA0B2E" w:rsidRDefault="00F07DFB" w:rsidP="00FA0B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17,4</w:t>
            </w:r>
            <w:r w:rsidR="00FA0B2E" w:rsidRPr="00FA0B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1" w:name="bookmark13"/>
      <w:r>
        <w:t>Исполнение расходной части бюджета</w:t>
      </w:r>
      <w:bookmarkEnd w:id="11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2020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26.12.2019 г. №110</w:t>
      </w:r>
      <w:r>
        <w:t xml:space="preserve"> «О бюджете </w:t>
      </w:r>
      <w:r w:rsidR="00BD725C">
        <w:t>Талдомского городского округа</w:t>
      </w:r>
      <w:r w:rsidR="0045539B">
        <w:t xml:space="preserve"> Московской области на 2020</w:t>
      </w:r>
      <w:r>
        <w:t xml:space="preserve"> год и плановый период 20</w:t>
      </w:r>
      <w:r w:rsidR="0045539B">
        <w:t>21</w:t>
      </w:r>
      <w:r>
        <w:t xml:space="preserve"> и 202</w:t>
      </w:r>
      <w:r w:rsidR="0045539B">
        <w:t>2</w:t>
      </w:r>
      <w:r>
        <w:t xml:space="preserve"> годов» в объеме </w:t>
      </w:r>
      <w:r w:rsidR="0045539B">
        <w:t>2 944 475,83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Расходная часть бюджета в течение </w:t>
      </w:r>
      <w:r w:rsidR="00491181">
        <w:t>1-го квартала 2020</w:t>
      </w:r>
      <w:r w:rsidR="00313A63">
        <w:t xml:space="preserve"> г. </w:t>
      </w:r>
      <w:r>
        <w:t xml:space="preserve">увеличилась на сумму  </w:t>
      </w:r>
      <w:r w:rsidR="00491181" w:rsidRPr="00491181">
        <w:rPr>
          <w:rFonts w:eastAsia="Calibri"/>
          <w:color w:val="auto"/>
          <w:lang w:eastAsia="en-US" w:bidi="ar-SA"/>
        </w:rPr>
        <w:t>103 596,169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>
        <w:t xml:space="preserve">тыс. рублей или на </w:t>
      </w:r>
      <w:r w:rsidR="00491181">
        <w:t>3,5</w:t>
      </w:r>
      <w:r>
        <w:t>% от первон</w:t>
      </w:r>
      <w:r w:rsidR="00491181">
        <w:t>ачально принятого бюджета на 2020</w:t>
      </w:r>
      <w:r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491181">
        <w:t>6</w:t>
      </w:r>
      <w:r w:rsidR="002C7338" w:rsidRPr="002C7338">
        <w:t>.12</w:t>
      </w:r>
      <w:r w:rsidR="00491181">
        <w:t>.2019 г. №110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2020 год и плановый период 2021 и 2022</w:t>
      </w:r>
      <w:r w:rsidR="002C7338" w:rsidRPr="002C7338">
        <w:t xml:space="preserve"> годов» в редакци</w:t>
      </w:r>
      <w:r w:rsidR="00491181">
        <w:t>и решения Совета депутатов от 12</w:t>
      </w:r>
      <w:r w:rsidR="002C7338" w:rsidRPr="002C7338">
        <w:t>.0</w:t>
      </w:r>
      <w:r w:rsidR="00491181">
        <w:t>2.2020</w:t>
      </w:r>
      <w:r w:rsidR="002C7338" w:rsidRPr="002C7338">
        <w:t xml:space="preserve"> №</w:t>
      </w:r>
      <w:r w:rsidR="00491181">
        <w:t>11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>а 1 квартал 2020</w:t>
      </w:r>
      <w:r>
        <w:t xml:space="preserve"> года расходы исполнены в объеме </w:t>
      </w:r>
      <w:r w:rsidR="00491181">
        <w:t xml:space="preserve">446 952,117 </w:t>
      </w:r>
      <w:r>
        <w:t xml:space="preserve">тыс. рублей или на </w:t>
      </w:r>
      <w:r w:rsidR="00491181">
        <w:t>15,3</w:t>
      </w:r>
      <w:r>
        <w:t>% от утвержденных назначений</w:t>
      </w:r>
      <w:r w:rsidR="00491181">
        <w:t xml:space="preserve"> на 2020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853216">
        <w:t>1 квартал 2020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853216">
        <w:t>9,7</w:t>
      </w:r>
      <w:r w:rsidR="00CA3405">
        <w:t xml:space="preserve">% по сравнению с </w:t>
      </w:r>
      <w:r w:rsidR="00853216">
        <w:t>1 кварталом 2019</w:t>
      </w:r>
      <w:r w:rsidR="00CA3405">
        <w:t xml:space="preserve"> года.</w:t>
      </w:r>
    </w:p>
    <w:p w:rsidR="007F364C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lastRenderedPageBreak/>
        <w:t>Таблица 3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555"/>
        <w:gridCol w:w="1372"/>
        <w:gridCol w:w="1353"/>
        <w:gridCol w:w="1430"/>
        <w:gridCol w:w="1676"/>
        <w:gridCol w:w="1289"/>
        <w:gridCol w:w="861"/>
        <w:gridCol w:w="861"/>
      </w:tblGrid>
      <w:tr w:rsidR="00FD76F2" w:rsidRPr="00FD76F2" w:rsidTr="00FD76F2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70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лнение бюджета за 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2019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ный бюджет на 01.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04.2020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2020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тыс. руб.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(рост/снижение) по отношению к 1-му кварталу 2019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Исполнено за 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квартал 2020 г. к плану на 2020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г., 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Структура (удельный вес) по итогам </w:t>
            </w:r>
            <w:r w:rsidR="00853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1-го квартала</w:t>
            </w:r>
            <w:r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%</w:t>
            </w:r>
          </w:p>
        </w:tc>
      </w:tr>
      <w:tr w:rsidR="00FD76F2" w:rsidRPr="00FD76F2" w:rsidTr="00FD76F2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853216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2019</w:t>
            </w:r>
            <w:r w:rsidR="00FD76F2"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853216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2020</w:t>
            </w:r>
            <w:r w:rsidR="00FD76F2"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г.</w:t>
            </w:r>
          </w:p>
        </w:tc>
      </w:tr>
      <w:tr w:rsidR="00FD76F2" w:rsidRPr="00FD76F2" w:rsidTr="00FD76F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45065,151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262947,330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61367,827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580CD7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36,18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23,3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996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1,07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3,73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361,56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2849,00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587,517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580CD7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62,5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20,6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996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  <w:r w:rsidR="00544BB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 деятельность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1379,027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17865,00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2728,608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580CD7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97,86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15,3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996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23810,495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451485,008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21971,091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433348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-7,73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4,9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9672F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5,85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C21DDA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4,92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50973,39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511445,545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39378,994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="00433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22,75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7,7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B763E7" w:rsidRDefault="0099672F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12,52</w:t>
            </w:r>
            <w:r w:rsidR="00FD76F2" w:rsidRPr="00B763E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B763E7" w:rsidRDefault="00C21DDA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8,81</w:t>
            </w:r>
            <w:r w:rsidR="00FD76F2" w:rsidRPr="00B763E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10108,58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433348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996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215698,29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1187438,119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235166,944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2455A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</w:t>
            </w:r>
            <w:r w:rsidR="004333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19,8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9672F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52,96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C21DDA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52,62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D7323D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43624,999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313324,50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49419,859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2455A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1007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,28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="00717F0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</w:t>
            </w:r>
            <w:r w:rsidR="00B763E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 w:rsidR="00996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B763E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,06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1289,467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="009245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1007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00,0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8589,333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61498,68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18972,248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007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120,88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30,8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C21DDA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4,24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15768,08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98215,00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16077,00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007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1,96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16,4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C21DDA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3,87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705,817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8348,00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1282,029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2455A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="001007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="001007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15,4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</w:t>
            </w:r>
            <w:r w:rsidR="00C21DD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FD76F2" w:rsidRPr="00FD76F2" w:rsidTr="00FD76F2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ного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10077C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="001007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  <w:r w:rsidR="00FD76F2"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FD76F2" w:rsidRPr="00FD76F2" w:rsidTr="00FD76F2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F2" w:rsidRPr="00FD76F2" w:rsidRDefault="00FD76F2" w:rsidP="00FD76F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407265,609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2925824,761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170D7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446952,117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940644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9,74</w:t>
            </w:r>
            <w:r w:rsidR="00FD76F2"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717F0C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15,3</w:t>
            </w:r>
            <w:r w:rsidR="00FD76F2" w:rsidRPr="00FD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FD76F2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D76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F2" w:rsidRPr="000F3807" w:rsidRDefault="00FD76F2" w:rsidP="00FD76F2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0F380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0A7CEB" w:rsidRDefault="00FD76F2">
      <w:pPr>
        <w:pStyle w:val="22"/>
        <w:shd w:val="clear" w:color="auto" w:fill="auto"/>
        <w:spacing w:before="0" w:after="0"/>
        <w:ind w:firstLine="880"/>
      </w:pPr>
      <w:r w:rsidRPr="000F3807">
        <w:t>Очень</w:t>
      </w:r>
      <w:r>
        <w:t xml:space="preserve"> низкое выполнение отмечается по разделам</w:t>
      </w:r>
      <w:r w:rsidR="000F3807">
        <w:t xml:space="preserve"> «Национальная экономика» – 4,9%, «Жилищно-коммунальное хозяйство» – 7,7%. В 1 квартале 2020 года не произведены расходы по разделам</w:t>
      </w:r>
      <w:r>
        <w:t xml:space="preserve"> «Охрана окружающей среды» </w:t>
      </w:r>
      <w:r w:rsidR="000F3807">
        <w:t>и «Обслуживание муниципального долга».</w:t>
      </w:r>
    </w:p>
    <w:p w:rsidR="00102BEF" w:rsidRDefault="00E86A4C">
      <w:pPr>
        <w:pStyle w:val="22"/>
        <w:shd w:val="clear" w:color="auto" w:fill="auto"/>
        <w:spacing w:before="0" w:after="0"/>
        <w:ind w:firstLine="880"/>
      </w:pPr>
      <w:r>
        <w:t>С</w:t>
      </w:r>
      <w:r w:rsidR="00102BEF">
        <w:t>труктур</w:t>
      </w:r>
      <w:r>
        <w:t>а</w:t>
      </w:r>
      <w:r w:rsidR="00102BEF">
        <w:t xml:space="preserve"> расходов за </w:t>
      </w:r>
      <w:r w:rsidR="000F3807">
        <w:t>1 квартал</w:t>
      </w:r>
      <w:r w:rsidR="00102BEF">
        <w:t xml:space="preserve"> 20</w:t>
      </w:r>
      <w:r w:rsidR="000F3807">
        <w:t>20</w:t>
      </w:r>
      <w:r w:rsidR="00102BEF">
        <w:t xml:space="preserve"> г. </w:t>
      </w:r>
      <w:r>
        <w:t xml:space="preserve">немного отличается от структуры расходов за </w:t>
      </w:r>
      <w:r w:rsidR="000F3807">
        <w:t>1 квартал</w:t>
      </w:r>
      <w:r>
        <w:t xml:space="preserve"> </w:t>
      </w:r>
      <w:r w:rsidR="006233E1">
        <w:t>201</w:t>
      </w:r>
      <w:r w:rsidR="000F3807">
        <w:t>9</w:t>
      </w:r>
      <w:r w:rsidR="006233E1">
        <w:t xml:space="preserve"> г. </w:t>
      </w: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124E38">
        <w:t>1 квартал 2020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доходам в сумме 508 679,236</w:t>
      </w:r>
      <w:r w:rsidR="00993AA7">
        <w:t xml:space="preserve"> тыс. рублей или на </w:t>
      </w:r>
      <w:r>
        <w:t>17,4</w:t>
      </w:r>
      <w:r w:rsidR="00993AA7">
        <w:t>% к утвержденным годовым 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124E38">
        <w:t>446 952,117</w:t>
      </w:r>
      <w:r>
        <w:t xml:space="preserve"> тыс. рублей или </w:t>
      </w:r>
      <w:r w:rsidR="00124E38">
        <w:t>15,3</w:t>
      </w:r>
      <w:r>
        <w:t>% к утвержденным годовым 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C021B9">
        <w:t>–</w:t>
      </w:r>
      <w:r w:rsidR="00124E38">
        <w:t xml:space="preserve">61 727,119 </w:t>
      </w:r>
      <w:r>
        <w:t>тыс. рублей.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lastRenderedPageBreak/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124E38">
        <w:t>1 квартал</w:t>
      </w:r>
      <w:r w:rsidR="003855D5">
        <w:t xml:space="preserve"> </w:t>
      </w:r>
      <w:r w:rsidR="00124E38">
        <w:t>2020</w:t>
      </w:r>
      <w:r>
        <w:t xml:space="preserve"> года составили </w:t>
      </w:r>
      <w:r w:rsidR="00124E38">
        <w:t>196 778,843</w:t>
      </w:r>
      <w:r>
        <w:t xml:space="preserve"> тыс. рублей или </w:t>
      </w:r>
      <w:r w:rsidR="00124E38">
        <w:t>19,0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124E38">
        <w:t>1 квартал 2020</w:t>
      </w:r>
      <w:r>
        <w:t xml:space="preserve"> года составили </w:t>
      </w:r>
      <w:r w:rsidR="00124E38">
        <w:t>14606,479</w:t>
      </w:r>
      <w:r>
        <w:t xml:space="preserve"> тыс. рублей или </w:t>
      </w:r>
      <w:r w:rsidR="00124E38">
        <w:t>18,5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124E38">
        <w:t>1 квартал</w:t>
      </w:r>
      <w:r w:rsidR="003855D5">
        <w:t xml:space="preserve"> </w:t>
      </w:r>
      <w:r w:rsidR="00124E38">
        <w:t>2020</w:t>
      </w:r>
      <w:r>
        <w:t xml:space="preserve"> года составили </w:t>
      </w:r>
      <w:r w:rsidR="00124E38">
        <w:t>297 293,914</w:t>
      </w:r>
      <w:r>
        <w:t xml:space="preserve"> тыс. рублей или </w:t>
      </w:r>
      <w:r w:rsidR="00124E38">
        <w:t>16,3</w:t>
      </w:r>
      <w:r>
        <w:t>% к утвержденным годовым назначениям.</w:t>
      </w:r>
    </w:p>
    <w:p w:rsidR="00C021B9" w:rsidRDefault="00C021B9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2C6890">
        <w:t>Отме</w:t>
      </w:r>
      <w:r>
        <w:t>чается о</w:t>
      </w:r>
      <w:r w:rsidRPr="00C021B9">
        <w:t>чень низкое выполнение</w:t>
      </w:r>
      <w:r>
        <w:t xml:space="preserve"> по расходам</w:t>
      </w:r>
      <w:r w:rsidR="002C6890">
        <w:t xml:space="preserve"> </w:t>
      </w:r>
      <w:r w:rsidR="002C6890" w:rsidRPr="002C6890">
        <w:t>по разделам «Национальная экономика» – 4,9%, «Жилищно-коммунальное хозяйство» – 7,7%. В 1 квартале 2020 года не произведены расходы по разделам «Охрана окружающей среды» и «Обслуживание муниципального долга».</w:t>
      </w:r>
      <w:r w:rsidRPr="00C021B9">
        <w:t xml:space="preserve"> 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p w:rsidR="00717F3B" w:rsidRDefault="00717F3B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0B" w:rsidRDefault="00A93C0B">
      <w:r>
        <w:separator/>
      </w:r>
    </w:p>
  </w:endnote>
  <w:endnote w:type="continuationSeparator" w:id="0">
    <w:p w:rsidR="00A93C0B" w:rsidRDefault="00A9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3D" w:rsidRDefault="003A42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323D" w:rsidRDefault="00D73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D7323D" w:rsidRDefault="00D73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3D" w:rsidRDefault="003A42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323D" w:rsidRDefault="00D73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D7323D" w:rsidRDefault="00D73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0B" w:rsidRDefault="00A93C0B"/>
  </w:footnote>
  <w:footnote w:type="continuationSeparator" w:id="0">
    <w:p w:rsidR="00A93C0B" w:rsidRDefault="00A93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225A7"/>
    <w:rsid w:val="00040C89"/>
    <w:rsid w:val="00045CD7"/>
    <w:rsid w:val="00056741"/>
    <w:rsid w:val="000A094F"/>
    <w:rsid w:val="000A6F26"/>
    <w:rsid w:val="000A7CEB"/>
    <w:rsid w:val="000E4E86"/>
    <w:rsid w:val="000F3807"/>
    <w:rsid w:val="000F5174"/>
    <w:rsid w:val="000F5D93"/>
    <w:rsid w:val="0010077C"/>
    <w:rsid w:val="00101FC6"/>
    <w:rsid w:val="00102917"/>
    <w:rsid w:val="00102BEF"/>
    <w:rsid w:val="001061DF"/>
    <w:rsid w:val="00121EC0"/>
    <w:rsid w:val="0012202F"/>
    <w:rsid w:val="00124E38"/>
    <w:rsid w:val="00127402"/>
    <w:rsid w:val="0014048E"/>
    <w:rsid w:val="001433E0"/>
    <w:rsid w:val="00153CF0"/>
    <w:rsid w:val="0015673A"/>
    <w:rsid w:val="001620DE"/>
    <w:rsid w:val="00170D7C"/>
    <w:rsid w:val="0017140F"/>
    <w:rsid w:val="00177A27"/>
    <w:rsid w:val="00184C33"/>
    <w:rsid w:val="001A4C17"/>
    <w:rsid w:val="001B47D2"/>
    <w:rsid w:val="001C6FFB"/>
    <w:rsid w:val="001F5E4B"/>
    <w:rsid w:val="00210EE6"/>
    <w:rsid w:val="00215935"/>
    <w:rsid w:val="00216DC7"/>
    <w:rsid w:val="00217246"/>
    <w:rsid w:val="0024422D"/>
    <w:rsid w:val="00266236"/>
    <w:rsid w:val="002719A6"/>
    <w:rsid w:val="00276B69"/>
    <w:rsid w:val="002852EE"/>
    <w:rsid w:val="00294596"/>
    <w:rsid w:val="00296BD8"/>
    <w:rsid w:val="002977A2"/>
    <w:rsid w:val="002979AC"/>
    <w:rsid w:val="002B4AC7"/>
    <w:rsid w:val="002C5B0C"/>
    <w:rsid w:val="002C6890"/>
    <w:rsid w:val="002C7338"/>
    <w:rsid w:val="002E12FB"/>
    <w:rsid w:val="003048D4"/>
    <w:rsid w:val="00313A63"/>
    <w:rsid w:val="00315D99"/>
    <w:rsid w:val="00322022"/>
    <w:rsid w:val="003571B5"/>
    <w:rsid w:val="0035768B"/>
    <w:rsid w:val="00364AB6"/>
    <w:rsid w:val="003670C7"/>
    <w:rsid w:val="003771C6"/>
    <w:rsid w:val="0038132E"/>
    <w:rsid w:val="003855D5"/>
    <w:rsid w:val="003A03EF"/>
    <w:rsid w:val="003A0FFA"/>
    <w:rsid w:val="003A4208"/>
    <w:rsid w:val="003A5541"/>
    <w:rsid w:val="003A57C5"/>
    <w:rsid w:val="003B764A"/>
    <w:rsid w:val="003C566C"/>
    <w:rsid w:val="003D000D"/>
    <w:rsid w:val="003D035E"/>
    <w:rsid w:val="003D570D"/>
    <w:rsid w:val="003E6E03"/>
    <w:rsid w:val="003F1CEA"/>
    <w:rsid w:val="00424AD5"/>
    <w:rsid w:val="00433348"/>
    <w:rsid w:val="004333F3"/>
    <w:rsid w:val="00441273"/>
    <w:rsid w:val="0045539B"/>
    <w:rsid w:val="00463344"/>
    <w:rsid w:val="00463540"/>
    <w:rsid w:val="00470CBF"/>
    <w:rsid w:val="004904A8"/>
    <w:rsid w:val="00491181"/>
    <w:rsid w:val="00494658"/>
    <w:rsid w:val="004C0C70"/>
    <w:rsid w:val="004F0352"/>
    <w:rsid w:val="004F5C91"/>
    <w:rsid w:val="00507098"/>
    <w:rsid w:val="00511B3D"/>
    <w:rsid w:val="00544BB4"/>
    <w:rsid w:val="00564C90"/>
    <w:rsid w:val="0057611F"/>
    <w:rsid w:val="00577851"/>
    <w:rsid w:val="00580CD7"/>
    <w:rsid w:val="00585AD3"/>
    <w:rsid w:val="005D2F24"/>
    <w:rsid w:val="005D5156"/>
    <w:rsid w:val="005E4BEB"/>
    <w:rsid w:val="005E77BA"/>
    <w:rsid w:val="005F3A64"/>
    <w:rsid w:val="005F582E"/>
    <w:rsid w:val="00604574"/>
    <w:rsid w:val="006106C8"/>
    <w:rsid w:val="00620364"/>
    <w:rsid w:val="006233E1"/>
    <w:rsid w:val="00630E97"/>
    <w:rsid w:val="006338D6"/>
    <w:rsid w:val="00636F89"/>
    <w:rsid w:val="00653AAB"/>
    <w:rsid w:val="0065633E"/>
    <w:rsid w:val="00664B4B"/>
    <w:rsid w:val="00665ED3"/>
    <w:rsid w:val="006858D7"/>
    <w:rsid w:val="006A4A78"/>
    <w:rsid w:val="006A4C19"/>
    <w:rsid w:val="006A4C5C"/>
    <w:rsid w:val="006B69BF"/>
    <w:rsid w:val="00703143"/>
    <w:rsid w:val="00717F0C"/>
    <w:rsid w:val="00717F3B"/>
    <w:rsid w:val="007369F8"/>
    <w:rsid w:val="007377D0"/>
    <w:rsid w:val="00776B6C"/>
    <w:rsid w:val="0077732E"/>
    <w:rsid w:val="007978C0"/>
    <w:rsid w:val="007A1D3F"/>
    <w:rsid w:val="007A404C"/>
    <w:rsid w:val="007B1C8D"/>
    <w:rsid w:val="007C03AC"/>
    <w:rsid w:val="007C2F40"/>
    <w:rsid w:val="007D048D"/>
    <w:rsid w:val="007D0BC8"/>
    <w:rsid w:val="007D72D2"/>
    <w:rsid w:val="007E1D6E"/>
    <w:rsid w:val="007F26E9"/>
    <w:rsid w:val="007F364C"/>
    <w:rsid w:val="0080663B"/>
    <w:rsid w:val="0085139D"/>
    <w:rsid w:val="00853216"/>
    <w:rsid w:val="008603C5"/>
    <w:rsid w:val="008632E4"/>
    <w:rsid w:val="008745D8"/>
    <w:rsid w:val="0088378F"/>
    <w:rsid w:val="008A3DE3"/>
    <w:rsid w:val="008A48A9"/>
    <w:rsid w:val="008B01D8"/>
    <w:rsid w:val="008E2853"/>
    <w:rsid w:val="008E6CCA"/>
    <w:rsid w:val="008E6EF7"/>
    <w:rsid w:val="0091607D"/>
    <w:rsid w:val="0092455A"/>
    <w:rsid w:val="00940644"/>
    <w:rsid w:val="00941651"/>
    <w:rsid w:val="00946578"/>
    <w:rsid w:val="009555E8"/>
    <w:rsid w:val="009614F8"/>
    <w:rsid w:val="00961BD6"/>
    <w:rsid w:val="00966033"/>
    <w:rsid w:val="00985A06"/>
    <w:rsid w:val="009870B0"/>
    <w:rsid w:val="00993AA7"/>
    <w:rsid w:val="0099672F"/>
    <w:rsid w:val="009A617B"/>
    <w:rsid w:val="009A6446"/>
    <w:rsid w:val="009B0376"/>
    <w:rsid w:val="009C3EFD"/>
    <w:rsid w:val="009D5C12"/>
    <w:rsid w:val="009F52E7"/>
    <w:rsid w:val="00A053C3"/>
    <w:rsid w:val="00A1187A"/>
    <w:rsid w:val="00A157AB"/>
    <w:rsid w:val="00A25985"/>
    <w:rsid w:val="00A43BC1"/>
    <w:rsid w:val="00A45DBD"/>
    <w:rsid w:val="00A61992"/>
    <w:rsid w:val="00A66C7F"/>
    <w:rsid w:val="00A747D5"/>
    <w:rsid w:val="00A81553"/>
    <w:rsid w:val="00A820F1"/>
    <w:rsid w:val="00A82639"/>
    <w:rsid w:val="00A93C0B"/>
    <w:rsid w:val="00AC46C5"/>
    <w:rsid w:val="00AD5624"/>
    <w:rsid w:val="00B0042E"/>
    <w:rsid w:val="00B148A9"/>
    <w:rsid w:val="00B37FFA"/>
    <w:rsid w:val="00B41734"/>
    <w:rsid w:val="00B42BF5"/>
    <w:rsid w:val="00B540B9"/>
    <w:rsid w:val="00B62AD1"/>
    <w:rsid w:val="00B63702"/>
    <w:rsid w:val="00B710A0"/>
    <w:rsid w:val="00B763E7"/>
    <w:rsid w:val="00B77ADA"/>
    <w:rsid w:val="00B8018B"/>
    <w:rsid w:val="00B97395"/>
    <w:rsid w:val="00BA49C9"/>
    <w:rsid w:val="00BA5839"/>
    <w:rsid w:val="00BB597D"/>
    <w:rsid w:val="00BC07EC"/>
    <w:rsid w:val="00BC285A"/>
    <w:rsid w:val="00BC50DE"/>
    <w:rsid w:val="00BD2CA3"/>
    <w:rsid w:val="00BD698D"/>
    <w:rsid w:val="00BD725C"/>
    <w:rsid w:val="00BE3790"/>
    <w:rsid w:val="00C021B9"/>
    <w:rsid w:val="00C06C29"/>
    <w:rsid w:val="00C2048D"/>
    <w:rsid w:val="00C210DA"/>
    <w:rsid w:val="00C21DDA"/>
    <w:rsid w:val="00C32DDD"/>
    <w:rsid w:val="00C8081C"/>
    <w:rsid w:val="00C879B4"/>
    <w:rsid w:val="00C90624"/>
    <w:rsid w:val="00C91A96"/>
    <w:rsid w:val="00CA3405"/>
    <w:rsid w:val="00CB050F"/>
    <w:rsid w:val="00CB65DD"/>
    <w:rsid w:val="00CC70C5"/>
    <w:rsid w:val="00CD56A7"/>
    <w:rsid w:val="00CE0E7E"/>
    <w:rsid w:val="00CE2F7B"/>
    <w:rsid w:val="00CE7582"/>
    <w:rsid w:val="00CF20AC"/>
    <w:rsid w:val="00CF2F41"/>
    <w:rsid w:val="00CF5B4C"/>
    <w:rsid w:val="00CF5CB0"/>
    <w:rsid w:val="00D051A1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323D"/>
    <w:rsid w:val="00D767A5"/>
    <w:rsid w:val="00D80AA5"/>
    <w:rsid w:val="00DA3806"/>
    <w:rsid w:val="00DA3815"/>
    <w:rsid w:val="00DA52B3"/>
    <w:rsid w:val="00DB2E48"/>
    <w:rsid w:val="00DB7FC0"/>
    <w:rsid w:val="00DF795C"/>
    <w:rsid w:val="00E053D4"/>
    <w:rsid w:val="00E10787"/>
    <w:rsid w:val="00E234EB"/>
    <w:rsid w:val="00E244DB"/>
    <w:rsid w:val="00E325AF"/>
    <w:rsid w:val="00E35032"/>
    <w:rsid w:val="00E40E14"/>
    <w:rsid w:val="00E42EFA"/>
    <w:rsid w:val="00E509A8"/>
    <w:rsid w:val="00E73C33"/>
    <w:rsid w:val="00E83858"/>
    <w:rsid w:val="00E86A4C"/>
    <w:rsid w:val="00E93C63"/>
    <w:rsid w:val="00EA3AAC"/>
    <w:rsid w:val="00EB51AA"/>
    <w:rsid w:val="00EB535F"/>
    <w:rsid w:val="00ED34E6"/>
    <w:rsid w:val="00EE132A"/>
    <w:rsid w:val="00EF270B"/>
    <w:rsid w:val="00F03B3E"/>
    <w:rsid w:val="00F07DFB"/>
    <w:rsid w:val="00F15362"/>
    <w:rsid w:val="00F162B2"/>
    <w:rsid w:val="00F22368"/>
    <w:rsid w:val="00F46E90"/>
    <w:rsid w:val="00F63465"/>
    <w:rsid w:val="00F67E71"/>
    <w:rsid w:val="00F70E15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4680"/>
    <w:rsid w:val="00FD76F2"/>
    <w:rsid w:val="00FE7F99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1FF1D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1EB9-5140-406C-AE9F-7435CC62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2020-05-25T11:54:00Z</cp:lastPrinted>
  <dcterms:created xsi:type="dcterms:W3CDTF">2020-05-25T12:00:00Z</dcterms:created>
  <dcterms:modified xsi:type="dcterms:W3CDTF">2020-05-25T12:00:00Z</dcterms:modified>
</cp:coreProperties>
</file>