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3" w:rsidRDefault="00A5400E" w:rsidP="0055102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>подготовила Заключение по результатам анализа исполнения бюджета Талдомского городского округа за 1</w:t>
      </w:r>
      <w:r w:rsidR="004F6E1E">
        <w:rPr>
          <w:rFonts w:ascii="Times New Roman" w:hAnsi="Times New Roman"/>
          <w:b/>
          <w:sz w:val="28"/>
          <w:szCs w:val="28"/>
        </w:rPr>
        <w:t xml:space="preserve"> квартал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</w:t>
      </w:r>
      <w:r w:rsidR="00752EBC">
        <w:rPr>
          <w:rFonts w:ascii="Times New Roman" w:hAnsi="Times New Roman"/>
          <w:b/>
          <w:sz w:val="28"/>
          <w:szCs w:val="28"/>
        </w:rPr>
        <w:t>4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239" w:rsidRPr="00551029" w:rsidRDefault="001A7239" w:rsidP="001A72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2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9125" cy="29849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8" cy="2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1</w:t>
      </w:r>
      <w:r w:rsidR="004F6E1E">
        <w:rPr>
          <w:rFonts w:ascii="Times New Roman" w:hAnsi="Times New Roman"/>
          <w:sz w:val="28"/>
          <w:szCs w:val="28"/>
        </w:rPr>
        <w:t xml:space="preserve"> квартал</w:t>
      </w:r>
      <w:r w:rsidRPr="00DA4893">
        <w:rPr>
          <w:rFonts w:ascii="Times New Roman" w:hAnsi="Times New Roman"/>
          <w:sz w:val="28"/>
          <w:szCs w:val="28"/>
        </w:rPr>
        <w:t xml:space="preserve"> 202</w:t>
      </w:r>
      <w:r w:rsidR="00752EBC">
        <w:rPr>
          <w:rFonts w:ascii="Times New Roman" w:hAnsi="Times New Roman"/>
          <w:sz w:val="28"/>
          <w:szCs w:val="28"/>
        </w:rPr>
        <w:t>4</w:t>
      </w:r>
      <w:r w:rsidRPr="00DA4893">
        <w:rPr>
          <w:rFonts w:ascii="Times New Roman" w:hAnsi="Times New Roman"/>
          <w:sz w:val="28"/>
          <w:szCs w:val="28"/>
        </w:rPr>
        <w:t xml:space="preserve"> г.  </w:t>
      </w:r>
    </w:p>
    <w:p w:rsidR="004F6E1E" w:rsidRPr="00DA4893" w:rsidRDefault="004F6E1E" w:rsidP="008D4E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по результатам анализа исполнении бюджета Талдомского городского округа за 1 квартал 202</w:t>
      </w:r>
      <w:r w:rsidR="00752EBC">
        <w:rPr>
          <w:rFonts w:ascii="Times New Roman" w:hAnsi="Times New Roman"/>
          <w:sz w:val="28"/>
          <w:szCs w:val="28"/>
        </w:rPr>
        <w:t>4</w:t>
      </w:r>
      <w:r w:rsidRPr="004F6E1E">
        <w:rPr>
          <w:rFonts w:ascii="Times New Roman" w:hAnsi="Times New Roman"/>
          <w:sz w:val="28"/>
          <w:szCs w:val="28"/>
        </w:rPr>
        <w:t xml:space="preserve">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</w:t>
      </w:r>
      <w:r w:rsidR="008D4EFE" w:rsidRPr="008D4EFE">
        <w:rPr>
          <w:rFonts w:ascii="Times New Roman" w:hAnsi="Times New Roman"/>
          <w:sz w:val="28"/>
          <w:szCs w:val="28"/>
        </w:rPr>
        <w:t>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23.06.2022 №45, Положением о бюджетном процессе в Талдомском городском округе, утвержденным решением Совета депутатов Талдомского городского округа от 27.04.2023 №24</w:t>
      </w:r>
      <w:r w:rsidR="008D4EFE">
        <w:rPr>
          <w:rFonts w:ascii="Times New Roman" w:hAnsi="Times New Roman"/>
          <w:sz w:val="28"/>
          <w:szCs w:val="28"/>
        </w:rPr>
        <w:t xml:space="preserve">, </w:t>
      </w:r>
      <w:r w:rsidRPr="004F6E1E">
        <w:rPr>
          <w:rFonts w:ascii="Times New Roman" w:hAnsi="Times New Roman"/>
          <w:sz w:val="28"/>
          <w:szCs w:val="28"/>
        </w:rPr>
        <w:t>на основании  п.1.1 Плана работы Контрольно-счетной палаты Талдомского городского округа на 202</w:t>
      </w:r>
      <w:r w:rsidR="00752EBC">
        <w:rPr>
          <w:rFonts w:ascii="Times New Roman" w:hAnsi="Times New Roman"/>
          <w:sz w:val="28"/>
          <w:szCs w:val="28"/>
        </w:rPr>
        <w:t>4</w:t>
      </w:r>
      <w:r w:rsidRPr="004F6E1E">
        <w:rPr>
          <w:rFonts w:ascii="Times New Roman" w:hAnsi="Times New Roman"/>
          <w:sz w:val="28"/>
          <w:szCs w:val="28"/>
        </w:rPr>
        <w:t xml:space="preserve"> год и распоряжения Контрольно-счетной</w:t>
      </w:r>
      <w:r w:rsidRPr="004F6E1E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</w:t>
      </w:r>
      <w:r w:rsidR="00752EBC">
        <w:rPr>
          <w:rFonts w:ascii="Times New Roman" w:hAnsi="Times New Roman"/>
          <w:sz w:val="28"/>
          <w:szCs w:val="28"/>
        </w:rPr>
        <w:t>07</w:t>
      </w:r>
      <w:r w:rsidR="008D4EFE" w:rsidRPr="008D4EFE">
        <w:rPr>
          <w:rFonts w:ascii="Times New Roman" w:hAnsi="Times New Roman"/>
          <w:sz w:val="28"/>
          <w:szCs w:val="28"/>
        </w:rPr>
        <w:t>.05.202</w:t>
      </w:r>
      <w:r w:rsidR="00752EBC">
        <w:rPr>
          <w:rFonts w:ascii="Times New Roman" w:hAnsi="Times New Roman"/>
          <w:sz w:val="28"/>
          <w:szCs w:val="28"/>
        </w:rPr>
        <w:t>4</w:t>
      </w:r>
      <w:r w:rsidR="008D4EFE" w:rsidRPr="008D4EFE">
        <w:rPr>
          <w:rFonts w:ascii="Times New Roman" w:hAnsi="Times New Roman"/>
          <w:sz w:val="28"/>
          <w:szCs w:val="28"/>
        </w:rPr>
        <w:t xml:space="preserve"> г. №</w:t>
      </w:r>
      <w:r w:rsidR="00752EBC">
        <w:rPr>
          <w:rFonts w:ascii="Times New Roman" w:hAnsi="Times New Roman"/>
          <w:sz w:val="28"/>
          <w:szCs w:val="28"/>
        </w:rPr>
        <w:t>9</w:t>
      </w:r>
      <w:r w:rsidRPr="004F6E1E">
        <w:rPr>
          <w:rFonts w:ascii="Times New Roman" w:hAnsi="Times New Roman"/>
          <w:sz w:val="28"/>
          <w:szCs w:val="28"/>
        </w:rPr>
        <w:t>.</w:t>
      </w:r>
    </w:p>
    <w:p w:rsidR="00551029" w:rsidRDefault="00551029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</w:t>
      </w:r>
      <w:r w:rsidRPr="00551029">
        <w:rPr>
          <w:rFonts w:ascii="Times New Roman" w:hAnsi="Times New Roman"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 xml:space="preserve"> по итогам экспертно-аналитического мероприятия:</w:t>
      </w:r>
    </w:p>
    <w:p w:rsidR="004F6E1E" w:rsidRPr="00752EBC" w:rsidRDefault="004F6E1E" w:rsidP="00752EBC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Бюджет Талдомского городского округа за 1 квартал 202</w:t>
      </w:r>
      <w:r w:rsidR="00752EBC" w:rsidRPr="00752EBC">
        <w:rPr>
          <w:rFonts w:ascii="Times New Roman" w:hAnsi="Times New Roman"/>
          <w:sz w:val="28"/>
          <w:szCs w:val="28"/>
        </w:rPr>
        <w:t>4</w:t>
      </w:r>
      <w:r w:rsidRPr="00752EBC">
        <w:rPr>
          <w:rFonts w:ascii="Times New Roman" w:hAnsi="Times New Roman"/>
          <w:sz w:val="28"/>
          <w:szCs w:val="28"/>
        </w:rPr>
        <w:t xml:space="preserve"> года исполнен: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•</w:t>
      </w:r>
      <w:r w:rsidRPr="00752EBC">
        <w:rPr>
          <w:rFonts w:ascii="Times New Roman" w:hAnsi="Times New Roman"/>
          <w:sz w:val="28"/>
          <w:szCs w:val="28"/>
        </w:rPr>
        <w:tab/>
        <w:t>по доходам в сумме 806094,659 тыс. рублей или 16,76% от утвержденных годовых назначений;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lastRenderedPageBreak/>
        <w:t>•</w:t>
      </w:r>
      <w:r w:rsidRPr="00752EBC">
        <w:rPr>
          <w:rFonts w:ascii="Times New Roman" w:hAnsi="Times New Roman"/>
          <w:sz w:val="28"/>
          <w:szCs w:val="28"/>
        </w:rPr>
        <w:tab/>
        <w:t>по расходам – 769240,271 тыс. рублей или 14,9% от утвержденных годовых назначений;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•</w:t>
      </w:r>
      <w:r w:rsidRPr="00752EBC">
        <w:rPr>
          <w:rFonts w:ascii="Times New Roman" w:hAnsi="Times New Roman"/>
          <w:sz w:val="28"/>
          <w:szCs w:val="28"/>
        </w:rPr>
        <w:tab/>
        <w:t>с профицитом в сумме 36854,387 тыс. рублей.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2.</w:t>
      </w:r>
      <w:r w:rsidRPr="00752EBC">
        <w:rPr>
          <w:rFonts w:ascii="Times New Roman" w:hAnsi="Times New Roman"/>
          <w:sz w:val="28"/>
          <w:szCs w:val="28"/>
        </w:rPr>
        <w:tab/>
        <w:t>Поступления налоговых доходов в бюджет Талдомского городского округа за 1 квартал 2024 года составили 313569,964 тыс. рублей или 17,25% от утвержденных годовых назначений.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3.</w:t>
      </w:r>
      <w:r w:rsidRPr="00752EBC">
        <w:rPr>
          <w:rFonts w:ascii="Times New Roman" w:hAnsi="Times New Roman"/>
          <w:sz w:val="28"/>
          <w:szCs w:val="28"/>
        </w:rPr>
        <w:tab/>
        <w:t>Поступления неналоговых доходов в бюджет Талдомского городского округа за 1 квартал 2024 года составили 38244,456 тыс. рублей или 32,38% от утвержденных годовых назначений.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4.</w:t>
      </w:r>
      <w:r w:rsidRPr="00752EBC">
        <w:rPr>
          <w:rFonts w:ascii="Times New Roman" w:hAnsi="Times New Roman"/>
          <w:sz w:val="28"/>
          <w:szCs w:val="28"/>
        </w:rPr>
        <w:tab/>
        <w:t>Безвозмездные поступления за 1 квартал 2024 года составили 454280,240 тыс. рублей или 15,8% от утвержденных годовых назначений.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5.</w:t>
      </w:r>
      <w:r w:rsidRPr="00752EBC">
        <w:rPr>
          <w:rFonts w:ascii="Times New Roman" w:hAnsi="Times New Roman"/>
          <w:sz w:val="28"/>
          <w:szCs w:val="28"/>
        </w:rPr>
        <w:tab/>
        <w:t xml:space="preserve">За 1 квартал 2024 года расходы исполнены в объеме 769240,271 тыс. рублей, что составляет 14,9% от утвержденных назначений на 2024 год. 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Отмечается низкое выполнение по разделам «Жилищно-коммунальное хозяйство» – 8,4%, «Национальная экономика» – 9,1%.   За 1 квартал 2024 года не произведены расходы по разделу «Обслуживание муниципального долга».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6. Исполнение бюджета на реализацию муниципальных программ за 1 квартал 2024 года составило 765454,032 тыс. рублей или 14,9% от утвержденных программных расходов на 2024 год. По итогам первого квартала 2024 г. в общем объеме расходов бюджета Талдомского городского округа программные расходы составили 99,5%.</w:t>
      </w:r>
    </w:p>
    <w:p w:rsidR="00752EBC" w:rsidRPr="00752EBC" w:rsidRDefault="00752EBC" w:rsidP="00752EBC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52EBC">
        <w:rPr>
          <w:rFonts w:ascii="Times New Roman" w:hAnsi="Times New Roman"/>
          <w:sz w:val="28"/>
          <w:szCs w:val="28"/>
        </w:rPr>
        <w:t>Отмечается низкое исполнение по муниципальным программам «Предпринимательство» – 0,5%, «Переселение граждан из аварийного жилищного фонда» – 0,5%, «Развитие сельского хозяйства» – 3,0%,  «Развитие инженерной инфраструктуры, энергоэффективности и отрасли обращения с отходами» – 8,3%, «Развитие и функционирование дорожно-транспортного комплекса» – 8,8%, «Социальная защита населения» – 11,9%. Расходы по муниципальной программе «Архитектура и градостроительство» в 1 квартале 2024 года не произведены.</w:t>
      </w:r>
    </w:p>
    <w:p w:rsidR="004F6E1E" w:rsidRPr="00551029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Контрольно-счетной палаты Талдомского городского округа по результатам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>Талдомского городского округа Московской области за 1 квартал 202</w:t>
      </w:r>
      <w:r w:rsidR="00752EBC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4F6E1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утверждено председателем Контрольно-счетной палаты Талдомского городского округа</w:t>
      </w:r>
      <w:r w:rsidR="008D4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направлено в Совет депутатов и администрацию Талдомского городского округа.</w:t>
      </w:r>
    </w:p>
    <w:sectPr w:rsidR="004F6E1E" w:rsidRPr="00551029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7B" w:rsidRDefault="00162C7B">
      <w:pPr>
        <w:spacing w:after="0" w:line="240" w:lineRule="auto"/>
      </w:pPr>
      <w:r>
        <w:separator/>
      </w:r>
    </w:p>
  </w:endnote>
  <w:endnote w:type="continuationSeparator" w:id="0">
    <w:p w:rsidR="00162C7B" w:rsidRDefault="0016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162C7B">
    <w:pPr>
      <w:pStyle w:val="a6"/>
      <w:jc w:val="center"/>
    </w:pPr>
  </w:p>
  <w:p w:rsidR="000D63F9" w:rsidRDefault="00162C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7B" w:rsidRDefault="00162C7B">
      <w:pPr>
        <w:spacing w:after="0" w:line="240" w:lineRule="auto"/>
      </w:pPr>
      <w:r>
        <w:separator/>
      </w:r>
    </w:p>
  </w:footnote>
  <w:footnote w:type="continuationSeparator" w:id="0">
    <w:p w:rsidR="00162C7B" w:rsidRDefault="0016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162C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162C7B">
    <w:pPr>
      <w:pStyle w:val="a4"/>
      <w:jc w:val="center"/>
    </w:pPr>
  </w:p>
  <w:p w:rsidR="000D63F9" w:rsidRDefault="00162C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5F27"/>
    <w:multiLevelType w:val="hybridMultilevel"/>
    <w:tmpl w:val="E658709E"/>
    <w:lvl w:ilvl="0" w:tplc="8B16400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03098"/>
    <w:rsid w:val="0002216F"/>
    <w:rsid w:val="0006048E"/>
    <w:rsid w:val="00086DB6"/>
    <w:rsid w:val="00092EB5"/>
    <w:rsid w:val="000C5E3C"/>
    <w:rsid w:val="00111D46"/>
    <w:rsid w:val="00156F03"/>
    <w:rsid w:val="00162C7B"/>
    <w:rsid w:val="0017281A"/>
    <w:rsid w:val="0019236E"/>
    <w:rsid w:val="001A7239"/>
    <w:rsid w:val="0024182C"/>
    <w:rsid w:val="00241B31"/>
    <w:rsid w:val="002767E5"/>
    <w:rsid w:val="002E5F83"/>
    <w:rsid w:val="00311864"/>
    <w:rsid w:val="00312601"/>
    <w:rsid w:val="00353BD8"/>
    <w:rsid w:val="0038276F"/>
    <w:rsid w:val="003A518B"/>
    <w:rsid w:val="00447FA7"/>
    <w:rsid w:val="004775CC"/>
    <w:rsid w:val="00482F5E"/>
    <w:rsid w:val="00491736"/>
    <w:rsid w:val="004B0C5C"/>
    <w:rsid w:val="004B3408"/>
    <w:rsid w:val="004C20F3"/>
    <w:rsid w:val="004F19B0"/>
    <w:rsid w:val="004F6E1E"/>
    <w:rsid w:val="00512BE6"/>
    <w:rsid w:val="00524914"/>
    <w:rsid w:val="00525431"/>
    <w:rsid w:val="00537620"/>
    <w:rsid w:val="00551029"/>
    <w:rsid w:val="00552A25"/>
    <w:rsid w:val="005938D3"/>
    <w:rsid w:val="005A447E"/>
    <w:rsid w:val="005E3C86"/>
    <w:rsid w:val="005F2821"/>
    <w:rsid w:val="006103F7"/>
    <w:rsid w:val="0065324E"/>
    <w:rsid w:val="00667DC0"/>
    <w:rsid w:val="006B37B3"/>
    <w:rsid w:val="006C1F25"/>
    <w:rsid w:val="006E30DC"/>
    <w:rsid w:val="00727004"/>
    <w:rsid w:val="00752EBC"/>
    <w:rsid w:val="00753E73"/>
    <w:rsid w:val="007667EC"/>
    <w:rsid w:val="00772DC2"/>
    <w:rsid w:val="00773FCF"/>
    <w:rsid w:val="00813AD1"/>
    <w:rsid w:val="008358F2"/>
    <w:rsid w:val="00870B93"/>
    <w:rsid w:val="00887E2F"/>
    <w:rsid w:val="008C1210"/>
    <w:rsid w:val="008D4EFE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A97005"/>
    <w:rsid w:val="00B65205"/>
    <w:rsid w:val="00B7443B"/>
    <w:rsid w:val="00BA7E27"/>
    <w:rsid w:val="00BC1E42"/>
    <w:rsid w:val="00BD0249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569C9"/>
    <w:rsid w:val="00DA4893"/>
    <w:rsid w:val="00DF61E6"/>
    <w:rsid w:val="00E0608B"/>
    <w:rsid w:val="00E15967"/>
    <w:rsid w:val="00E66D80"/>
    <w:rsid w:val="00E67295"/>
    <w:rsid w:val="00E80C19"/>
    <w:rsid w:val="00E80F41"/>
    <w:rsid w:val="00EE6BCB"/>
    <w:rsid w:val="00F6204C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ACD8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2019-06-03T13:56:00Z</cp:lastPrinted>
  <dcterms:created xsi:type="dcterms:W3CDTF">2024-06-03T09:16:00Z</dcterms:created>
  <dcterms:modified xsi:type="dcterms:W3CDTF">2024-06-03T09:19:00Z</dcterms:modified>
</cp:coreProperties>
</file>