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2B5CE2"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sidR="00E27B9C" w:rsidRPr="00E27B9C">
        <w:rPr>
          <w:rFonts w:ascii="Times New Roman" w:hAnsi="Times New Roman" w:cs="Times New Roman"/>
          <w:sz w:val="28"/>
          <w:szCs w:val="28"/>
          <w:u w:val="single"/>
        </w:rPr>
        <w:t>27 марта</w:t>
      </w:r>
      <w:r w:rsidRPr="002B5CE2">
        <w:rPr>
          <w:rFonts w:ascii="Times New Roman" w:hAnsi="Times New Roman" w:cs="Times New Roman"/>
          <w:sz w:val="28"/>
          <w:szCs w:val="28"/>
        </w:rPr>
        <w:t xml:space="preserve">  20</w:t>
      </w:r>
      <w:r w:rsidR="00C122CD">
        <w:rPr>
          <w:rFonts w:ascii="Times New Roman" w:hAnsi="Times New Roman" w:cs="Times New Roman"/>
          <w:sz w:val="28"/>
          <w:szCs w:val="28"/>
        </w:rPr>
        <w:t>2</w:t>
      </w:r>
      <w:r w:rsidR="00E27B9C">
        <w:rPr>
          <w:rFonts w:ascii="Times New Roman" w:hAnsi="Times New Roman" w:cs="Times New Roman"/>
          <w:sz w:val="28"/>
          <w:szCs w:val="28"/>
        </w:rPr>
        <w:t>5</w:t>
      </w:r>
      <w:r w:rsidRPr="002B5CE2">
        <w:rPr>
          <w:rFonts w:ascii="Times New Roman" w:hAnsi="Times New Roman" w:cs="Times New Roman"/>
          <w:sz w:val="28"/>
          <w:szCs w:val="28"/>
        </w:rPr>
        <w:t>_ г.</w:t>
      </w:r>
      <w:r>
        <w:rPr>
          <w:rFonts w:ascii="Times New Roman" w:hAnsi="Times New Roman" w:cs="Times New Roman"/>
          <w:sz w:val="28"/>
          <w:szCs w:val="28"/>
        </w:rPr>
        <w:t xml:space="preserve">                                </w:t>
      </w:r>
      <w:r w:rsidR="00D83166">
        <w:rPr>
          <w:rFonts w:ascii="Times New Roman" w:hAnsi="Times New Roman" w:cs="Times New Roman"/>
          <w:sz w:val="28"/>
          <w:szCs w:val="28"/>
        </w:rPr>
        <w:t xml:space="preserve">                  </w:t>
      </w:r>
      <w:r>
        <w:rPr>
          <w:rFonts w:ascii="Times New Roman" w:hAnsi="Times New Roman" w:cs="Times New Roman"/>
          <w:sz w:val="28"/>
          <w:szCs w:val="28"/>
        </w:rPr>
        <w:t xml:space="preserve">                                        №_</w:t>
      </w:r>
      <w:r w:rsidR="00D83166" w:rsidRPr="00D83166">
        <w:rPr>
          <w:rFonts w:ascii="Times New Roman" w:hAnsi="Times New Roman" w:cs="Times New Roman"/>
          <w:sz w:val="28"/>
          <w:szCs w:val="28"/>
          <w:u w:val="single"/>
        </w:rPr>
        <w:t>17</w:t>
      </w:r>
      <w:r>
        <w:rPr>
          <w:rFonts w:ascii="Times New Roman" w:hAnsi="Times New Roman" w:cs="Times New Roman"/>
          <w:sz w:val="28"/>
          <w:szCs w:val="28"/>
        </w:rPr>
        <w:t>__</w:t>
      </w:r>
    </w:p>
    <w:p w:rsidR="00E1507B" w:rsidRPr="002052B4"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7A78B5" w:rsidRDefault="000A52FE" w:rsidP="007A78B5">
      <w:pPr>
        <w:jc w:val="both"/>
        <w:rPr>
          <w:b/>
        </w:rPr>
      </w:pPr>
      <w:r>
        <w:rPr>
          <w:b/>
          <w:sz w:val="26"/>
          <w:szCs w:val="26"/>
        </w:rPr>
        <w:t xml:space="preserve">  </w:t>
      </w:r>
      <w:r w:rsidR="007A78B5">
        <w:rPr>
          <w:b/>
        </w:rPr>
        <w:t xml:space="preserve">Об отчете </w:t>
      </w:r>
      <w:r w:rsidR="007A78B5" w:rsidRPr="004610DD">
        <w:rPr>
          <w:b/>
        </w:rPr>
        <w:t>о результатах</w:t>
      </w:r>
    </w:p>
    <w:p w:rsidR="007A78B5" w:rsidRDefault="007A78B5" w:rsidP="007A78B5">
      <w:pPr>
        <w:jc w:val="both"/>
        <w:rPr>
          <w:b/>
        </w:rPr>
      </w:pPr>
      <w:r>
        <w:rPr>
          <w:b/>
        </w:rPr>
        <w:t xml:space="preserve">  </w:t>
      </w:r>
      <w:r w:rsidRPr="004610DD">
        <w:rPr>
          <w:b/>
        </w:rPr>
        <w:t>работы главы и администрации</w:t>
      </w:r>
    </w:p>
    <w:p w:rsidR="007A78B5" w:rsidRPr="004610DD" w:rsidRDefault="007A78B5" w:rsidP="007A78B5">
      <w:pPr>
        <w:jc w:val="both"/>
        <w:rPr>
          <w:b/>
        </w:rPr>
      </w:pPr>
      <w:r>
        <w:rPr>
          <w:b/>
        </w:rPr>
        <w:t xml:space="preserve">  Т</w:t>
      </w:r>
      <w:r w:rsidRPr="004610DD">
        <w:rPr>
          <w:b/>
        </w:rPr>
        <w:t>алдомского</w:t>
      </w:r>
      <w:r>
        <w:rPr>
          <w:b/>
        </w:rPr>
        <w:t xml:space="preserve"> городского округа</w:t>
      </w:r>
    </w:p>
    <w:p w:rsidR="007A78B5" w:rsidRPr="004610DD" w:rsidRDefault="007A78B5" w:rsidP="007A78B5">
      <w:pPr>
        <w:jc w:val="both"/>
        <w:rPr>
          <w:b/>
        </w:rPr>
      </w:pPr>
      <w:r>
        <w:rPr>
          <w:b/>
        </w:rPr>
        <w:t xml:space="preserve">  Московской области </w:t>
      </w:r>
      <w:r w:rsidRPr="004610DD">
        <w:rPr>
          <w:b/>
        </w:rPr>
        <w:t>за 20</w:t>
      </w:r>
      <w:r>
        <w:rPr>
          <w:b/>
        </w:rPr>
        <w:t>2</w:t>
      </w:r>
      <w:r w:rsidR="00413A31">
        <w:rPr>
          <w:b/>
        </w:rPr>
        <w:t>4</w:t>
      </w:r>
      <w:r w:rsidRPr="004610DD">
        <w:rPr>
          <w:b/>
        </w:rPr>
        <w:t xml:space="preserve"> год</w:t>
      </w:r>
    </w:p>
    <w:p w:rsidR="007A78B5" w:rsidRDefault="007A78B5" w:rsidP="007A78B5">
      <w:pPr>
        <w:jc w:val="both"/>
        <w:rPr>
          <w:b/>
        </w:rPr>
      </w:pPr>
    </w:p>
    <w:p w:rsidR="007A78B5" w:rsidRPr="004610DD" w:rsidRDefault="007A78B5" w:rsidP="007A78B5">
      <w:pPr>
        <w:ind w:firstLine="708"/>
        <w:jc w:val="both"/>
      </w:pPr>
      <w:r>
        <w:t>Заслушав отчет о результатах работы главы и администрации Талдомского городского округа Московской области за 202</w:t>
      </w:r>
      <w:r w:rsidR="00413A31">
        <w:t>4</w:t>
      </w:r>
      <w:r>
        <w:t xml:space="preserve"> год, руководствуясь Федеральным законом от 06 октября </w:t>
      </w:r>
      <w:r w:rsidRPr="004610DD">
        <w:t xml:space="preserve">2003 </w:t>
      </w:r>
      <w:r>
        <w:t>года</w:t>
      </w:r>
      <w:r w:rsidRPr="004610DD">
        <w:t xml:space="preserve"> №131-ФЗ «Об общих принципах организации местного самоуправления в Российской Федерации», Уставом </w:t>
      </w:r>
      <w:r>
        <w:t>Талдомского городского округа  Московской области, Совет депутатов Талдомского городского округа</w:t>
      </w:r>
    </w:p>
    <w:p w:rsidR="007A78B5" w:rsidRPr="00EB48BE" w:rsidRDefault="007A78B5" w:rsidP="007A78B5">
      <w:pPr>
        <w:jc w:val="both"/>
      </w:pPr>
    </w:p>
    <w:p w:rsidR="007A78B5" w:rsidRPr="00D53E13" w:rsidRDefault="007A78B5" w:rsidP="007A78B5">
      <w:pPr>
        <w:ind w:firstLine="708"/>
        <w:jc w:val="center"/>
        <w:rPr>
          <w:b/>
        </w:rPr>
      </w:pPr>
      <w:r w:rsidRPr="00D53E13">
        <w:rPr>
          <w:b/>
        </w:rPr>
        <w:t>РЕШИЛ:</w:t>
      </w:r>
    </w:p>
    <w:p w:rsidR="007A78B5" w:rsidRPr="00EB48BE" w:rsidRDefault="007A78B5" w:rsidP="007A78B5">
      <w:pPr>
        <w:jc w:val="both"/>
      </w:pPr>
    </w:p>
    <w:p w:rsidR="007A78B5" w:rsidRDefault="007A78B5" w:rsidP="007A78B5">
      <w:pPr>
        <w:numPr>
          <w:ilvl w:val="0"/>
          <w:numId w:val="2"/>
        </w:numPr>
        <w:jc w:val="both"/>
      </w:pPr>
      <w:r>
        <w:t>П</w:t>
      </w:r>
      <w:r w:rsidRPr="00A43A8C">
        <w:t xml:space="preserve">ризнать работу </w:t>
      </w:r>
      <w:r>
        <w:t>главы и администрации Талдомского городского округа Московской области за  202</w:t>
      </w:r>
      <w:r w:rsidR="00413A31">
        <w:t>4</w:t>
      </w:r>
      <w:r>
        <w:t xml:space="preserve"> год </w:t>
      </w:r>
      <w:r w:rsidR="00E96E36">
        <w:t>удовлетворительной</w:t>
      </w:r>
      <w:r>
        <w:t>.</w:t>
      </w:r>
    </w:p>
    <w:p w:rsidR="007A78B5" w:rsidRDefault="007A78B5" w:rsidP="007A78B5">
      <w:pPr>
        <w:numPr>
          <w:ilvl w:val="0"/>
          <w:numId w:val="2"/>
        </w:numPr>
        <w:jc w:val="both"/>
      </w:pPr>
      <w:r w:rsidRPr="00A43A8C">
        <w:t xml:space="preserve">Направить настоящее решение </w:t>
      </w:r>
      <w:r>
        <w:t>главе Талдомского городского округа Московской области</w:t>
      </w:r>
      <w:r w:rsidRPr="00A43A8C">
        <w:t xml:space="preserve"> для официального опубликования</w:t>
      </w:r>
      <w:r>
        <w:t>.</w:t>
      </w:r>
    </w:p>
    <w:p w:rsidR="007A78B5" w:rsidRDefault="007A78B5" w:rsidP="007A78B5">
      <w:pPr>
        <w:numPr>
          <w:ilvl w:val="0"/>
          <w:numId w:val="2"/>
        </w:numPr>
        <w:jc w:val="both"/>
      </w:pPr>
      <w:r>
        <w:t>Контроль исполнения настоящего решения возложить на председателя Совета депутатов Талдомского городского округа М.И. Аникеева.</w:t>
      </w:r>
    </w:p>
    <w:p w:rsidR="007A78B5" w:rsidRDefault="007A78B5" w:rsidP="007A78B5">
      <w:pPr>
        <w:jc w:val="both"/>
      </w:pPr>
    </w:p>
    <w:p w:rsidR="007A78B5" w:rsidRDefault="007A78B5" w:rsidP="007A78B5">
      <w:pPr>
        <w:pStyle w:val="a6"/>
        <w:rPr>
          <w:rFonts w:ascii="Times New Roman" w:hAnsi="Times New Roman"/>
        </w:rPr>
      </w:pPr>
    </w:p>
    <w:p w:rsidR="007A78B5" w:rsidRDefault="007A78B5" w:rsidP="007A78B5">
      <w:pPr>
        <w:pStyle w:val="a6"/>
        <w:rPr>
          <w:rFonts w:ascii="Times New Roman" w:hAnsi="Times New Roman"/>
        </w:rPr>
      </w:pPr>
      <w:r>
        <w:rPr>
          <w:rFonts w:ascii="Times New Roman" w:hAnsi="Times New Roman"/>
        </w:rPr>
        <w:t>Председатель Совета депутатов</w:t>
      </w:r>
    </w:p>
    <w:p w:rsidR="007A78B5" w:rsidRDefault="007A78B5" w:rsidP="007A78B5">
      <w:pPr>
        <w:pStyle w:val="a6"/>
        <w:rPr>
          <w:rFonts w:ascii="Times New Roman" w:hAnsi="Times New Roman"/>
        </w:rPr>
      </w:pPr>
      <w:r>
        <w:rPr>
          <w:rFonts w:ascii="Times New Roman" w:hAnsi="Times New Roman"/>
        </w:rPr>
        <w:t>Талдомского городского округа                                                                                              М.И. Аникеев</w:t>
      </w:r>
    </w:p>
    <w:p w:rsidR="007A78B5" w:rsidRDefault="007A78B5" w:rsidP="007A78B5">
      <w:pPr>
        <w:pStyle w:val="a6"/>
        <w:rPr>
          <w:rFonts w:ascii="Times New Roman" w:hAnsi="Times New Roman"/>
          <w:b/>
        </w:rPr>
      </w:pPr>
    </w:p>
    <w:p w:rsidR="007A78B5" w:rsidRPr="000504D2" w:rsidRDefault="007A78B5" w:rsidP="007A78B5">
      <w:pPr>
        <w:pStyle w:val="a6"/>
        <w:rPr>
          <w:rFonts w:ascii="Times New Roman" w:hAnsi="Times New Roman"/>
          <w:b/>
        </w:rPr>
      </w:pPr>
    </w:p>
    <w:p w:rsidR="007A78B5" w:rsidRDefault="007A78B5" w:rsidP="007A78B5">
      <w:pPr>
        <w:pStyle w:val="a6"/>
        <w:rPr>
          <w:rFonts w:ascii="Times New Roman" w:hAnsi="Times New Roman"/>
        </w:rPr>
      </w:pPr>
      <w:r>
        <w:rPr>
          <w:rFonts w:ascii="Times New Roman" w:hAnsi="Times New Roman"/>
        </w:rPr>
        <w:t>Глава Талдомского городского округа                                                                                   Ю.В. Крупенин</w:t>
      </w:r>
    </w:p>
    <w:p w:rsidR="007A78B5" w:rsidRDefault="007A78B5" w:rsidP="007A78B5">
      <w:pPr>
        <w:pStyle w:val="a6"/>
        <w:rPr>
          <w:rFonts w:ascii="Times New Roman" w:hAnsi="Times New Roman"/>
          <w:sz w:val="24"/>
          <w:szCs w:val="24"/>
        </w:rPr>
      </w:pPr>
    </w:p>
    <w:p w:rsidR="007A78B5" w:rsidRDefault="007A78B5" w:rsidP="007A78B5">
      <w:pPr>
        <w:jc w:val="both"/>
      </w:pPr>
    </w:p>
    <w:p w:rsidR="007A78B5" w:rsidRDefault="007A78B5" w:rsidP="007A78B5">
      <w:pPr>
        <w:jc w:val="both"/>
      </w:pPr>
    </w:p>
    <w:p w:rsidR="007A78B5" w:rsidRDefault="007A78B5" w:rsidP="007A78B5">
      <w:pPr>
        <w:jc w:val="both"/>
      </w:pPr>
    </w:p>
    <w:p w:rsidR="007A78B5" w:rsidRDefault="007A78B5" w:rsidP="007A78B5">
      <w:pPr>
        <w:jc w:val="both"/>
      </w:pPr>
    </w:p>
    <w:p w:rsidR="007A78B5" w:rsidRDefault="007A78B5" w:rsidP="007A78B5">
      <w:pPr>
        <w:jc w:val="both"/>
      </w:pPr>
    </w:p>
    <w:p w:rsidR="007A78B5" w:rsidRDefault="007A78B5" w:rsidP="007A78B5">
      <w:pPr>
        <w:jc w:val="both"/>
      </w:pPr>
    </w:p>
    <w:p w:rsidR="008F4379" w:rsidRDefault="008F4379" w:rsidP="007A78B5">
      <w:pPr>
        <w:jc w:val="both"/>
      </w:pPr>
    </w:p>
    <w:p w:rsidR="008F4379" w:rsidRDefault="008F4379" w:rsidP="007A78B5">
      <w:pPr>
        <w:jc w:val="both"/>
      </w:pPr>
    </w:p>
    <w:p w:rsidR="008F4379" w:rsidRDefault="008F4379" w:rsidP="007A78B5">
      <w:pPr>
        <w:jc w:val="both"/>
      </w:pPr>
    </w:p>
    <w:p w:rsidR="008F4379" w:rsidRDefault="008F4379" w:rsidP="007A78B5">
      <w:pPr>
        <w:jc w:val="both"/>
      </w:pPr>
    </w:p>
    <w:p w:rsidR="008F4379" w:rsidRDefault="008F4379" w:rsidP="007A78B5">
      <w:pPr>
        <w:jc w:val="both"/>
      </w:pPr>
    </w:p>
    <w:p w:rsidR="008F4379" w:rsidRDefault="008F4379" w:rsidP="007A78B5">
      <w:pPr>
        <w:jc w:val="both"/>
      </w:pPr>
    </w:p>
    <w:p w:rsidR="008F4379" w:rsidRDefault="008F4379" w:rsidP="007A78B5">
      <w:pPr>
        <w:jc w:val="both"/>
      </w:pPr>
    </w:p>
    <w:p w:rsidR="008F4379" w:rsidRDefault="008F4379" w:rsidP="007A78B5">
      <w:pPr>
        <w:jc w:val="both"/>
      </w:pPr>
    </w:p>
    <w:p w:rsidR="008F4379" w:rsidRPr="008F4379" w:rsidRDefault="008F4379" w:rsidP="008F4379">
      <w:pPr>
        <w:tabs>
          <w:tab w:val="left" w:pos="9639"/>
        </w:tabs>
        <w:ind w:right="566" w:firstLine="567"/>
        <w:jc w:val="right"/>
        <w:rPr>
          <w:rFonts w:eastAsia="Calibri" w:cs="Times New Roman"/>
          <w:color w:val="FF0000"/>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ind w:right="282"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both"/>
        <w:rPr>
          <w:rFonts w:eastAsia="Calibri" w:cs="Times New Roman"/>
          <w:sz w:val="28"/>
          <w:szCs w:val="28"/>
        </w:rPr>
      </w:pPr>
    </w:p>
    <w:p w:rsidR="008F4379" w:rsidRPr="008F4379" w:rsidRDefault="008F4379" w:rsidP="008F4379">
      <w:pPr>
        <w:tabs>
          <w:tab w:val="left" w:pos="9639"/>
        </w:tabs>
        <w:ind w:right="566" w:firstLine="567"/>
        <w:jc w:val="center"/>
        <w:rPr>
          <w:rFonts w:eastAsia="Calibri" w:cs="Times New Roman"/>
          <w:b/>
          <w:sz w:val="48"/>
          <w:szCs w:val="48"/>
        </w:rPr>
      </w:pPr>
      <w:r w:rsidRPr="008F4379">
        <w:rPr>
          <w:rFonts w:eastAsia="Calibri" w:cs="Times New Roman"/>
          <w:b/>
          <w:sz w:val="48"/>
          <w:szCs w:val="48"/>
        </w:rPr>
        <w:t>Отчёт</w:t>
      </w:r>
    </w:p>
    <w:p w:rsidR="008F4379" w:rsidRPr="008F4379" w:rsidRDefault="008F4379" w:rsidP="008F4379">
      <w:pPr>
        <w:tabs>
          <w:tab w:val="left" w:pos="9639"/>
        </w:tabs>
        <w:ind w:right="566" w:firstLine="567"/>
        <w:jc w:val="center"/>
        <w:rPr>
          <w:rFonts w:eastAsia="Calibri" w:cs="Times New Roman"/>
          <w:b/>
          <w:sz w:val="48"/>
          <w:szCs w:val="48"/>
        </w:rPr>
      </w:pPr>
      <w:r w:rsidRPr="008F4379">
        <w:rPr>
          <w:rFonts w:eastAsia="Calibri" w:cs="Times New Roman"/>
          <w:b/>
          <w:sz w:val="48"/>
          <w:szCs w:val="48"/>
        </w:rPr>
        <w:t>о результатах работы</w:t>
      </w:r>
    </w:p>
    <w:p w:rsidR="008F4379" w:rsidRPr="008F4379" w:rsidRDefault="008F4379" w:rsidP="008F4379">
      <w:pPr>
        <w:tabs>
          <w:tab w:val="left" w:pos="9639"/>
        </w:tabs>
        <w:ind w:right="566" w:firstLine="567"/>
        <w:jc w:val="center"/>
        <w:rPr>
          <w:rFonts w:eastAsia="Calibri" w:cs="Times New Roman"/>
          <w:b/>
          <w:sz w:val="48"/>
          <w:szCs w:val="48"/>
        </w:rPr>
      </w:pPr>
      <w:r w:rsidRPr="008F4379">
        <w:rPr>
          <w:rFonts w:eastAsia="Calibri" w:cs="Times New Roman"/>
          <w:b/>
          <w:sz w:val="48"/>
          <w:szCs w:val="48"/>
        </w:rPr>
        <w:t>главы и администрации</w:t>
      </w:r>
    </w:p>
    <w:p w:rsidR="008F4379" w:rsidRPr="008F4379" w:rsidRDefault="008F4379" w:rsidP="008F4379">
      <w:pPr>
        <w:tabs>
          <w:tab w:val="left" w:pos="9639"/>
        </w:tabs>
        <w:ind w:right="566" w:firstLine="567"/>
        <w:jc w:val="center"/>
        <w:rPr>
          <w:rFonts w:eastAsia="Calibri" w:cs="Times New Roman"/>
          <w:b/>
          <w:sz w:val="48"/>
          <w:szCs w:val="48"/>
        </w:rPr>
      </w:pPr>
      <w:r w:rsidRPr="008F4379">
        <w:rPr>
          <w:rFonts w:eastAsia="Calibri" w:cs="Times New Roman"/>
          <w:b/>
          <w:sz w:val="48"/>
          <w:szCs w:val="48"/>
        </w:rPr>
        <w:t>Талдомского городского округа</w:t>
      </w:r>
    </w:p>
    <w:p w:rsidR="008F4379" w:rsidRPr="008F4379" w:rsidRDefault="008F4379" w:rsidP="008F4379">
      <w:pPr>
        <w:tabs>
          <w:tab w:val="left" w:pos="9639"/>
        </w:tabs>
        <w:ind w:right="566" w:firstLine="567"/>
        <w:jc w:val="center"/>
        <w:rPr>
          <w:rFonts w:eastAsia="Calibri" w:cs="Times New Roman"/>
          <w:b/>
          <w:sz w:val="48"/>
          <w:szCs w:val="48"/>
        </w:rPr>
      </w:pPr>
      <w:r w:rsidRPr="008F4379">
        <w:rPr>
          <w:rFonts w:eastAsia="Calibri" w:cs="Times New Roman"/>
          <w:b/>
          <w:sz w:val="48"/>
          <w:szCs w:val="48"/>
        </w:rPr>
        <w:t>за 2024 год</w:t>
      </w: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sz w:val="28"/>
          <w:szCs w:val="28"/>
        </w:rPr>
      </w:pPr>
    </w:p>
    <w:p w:rsidR="008F4379" w:rsidRPr="008F4379" w:rsidRDefault="008F4379" w:rsidP="008F4379">
      <w:pPr>
        <w:tabs>
          <w:tab w:val="left" w:pos="9639"/>
        </w:tabs>
        <w:ind w:right="566" w:firstLine="567"/>
        <w:jc w:val="both"/>
        <w:rPr>
          <w:rFonts w:eastAsia="Calibri" w:cs="Times New Roman"/>
          <w:b/>
          <w:color w:val="FF0000"/>
          <w:sz w:val="28"/>
          <w:szCs w:val="28"/>
        </w:rPr>
      </w:pPr>
    </w:p>
    <w:p w:rsidR="008F4379" w:rsidRPr="008F4379" w:rsidRDefault="008F4379" w:rsidP="008F4379">
      <w:pPr>
        <w:tabs>
          <w:tab w:val="left" w:pos="9639"/>
        </w:tabs>
        <w:ind w:right="566" w:firstLine="567"/>
        <w:jc w:val="both"/>
        <w:rPr>
          <w:rFonts w:eastAsia="Calibri" w:cs="Times New Roman"/>
          <w:b/>
          <w:color w:val="FF0000"/>
          <w:sz w:val="28"/>
          <w:szCs w:val="28"/>
        </w:rPr>
      </w:pPr>
    </w:p>
    <w:p w:rsidR="008F4379" w:rsidRPr="008F4379" w:rsidRDefault="008F4379" w:rsidP="008F4379">
      <w:pPr>
        <w:tabs>
          <w:tab w:val="left" w:pos="9639"/>
        </w:tabs>
        <w:ind w:right="566" w:firstLine="567"/>
        <w:jc w:val="both"/>
        <w:rPr>
          <w:rFonts w:eastAsia="Calibri" w:cs="Times New Roman"/>
          <w:b/>
          <w:color w:val="FF0000"/>
          <w:sz w:val="28"/>
          <w:szCs w:val="28"/>
        </w:rPr>
      </w:pPr>
    </w:p>
    <w:p w:rsidR="008F4379" w:rsidRPr="008F4379" w:rsidRDefault="008F4379" w:rsidP="008F4379">
      <w:pPr>
        <w:tabs>
          <w:tab w:val="left" w:pos="9639"/>
        </w:tabs>
        <w:ind w:right="566" w:firstLine="567"/>
        <w:jc w:val="both"/>
        <w:rPr>
          <w:rFonts w:eastAsia="Calibri" w:cs="Times New Roman"/>
          <w:b/>
          <w:color w:val="FF0000"/>
          <w:sz w:val="28"/>
          <w:szCs w:val="28"/>
        </w:rPr>
      </w:pP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rPr>
        <w:lastRenderedPageBreak/>
        <w:t xml:space="preserve">Отчёт посвящён подведению итогов работы главы и администрации Талдомского городского округа в 2024 году, задачам, стоящим перед нами в 2025 году и последующих годах, основанным на исполнении Указов Президента, достижении целей, обозначенных Губернатором Московской области, а также </w:t>
      </w:r>
      <w:r w:rsidRPr="008F4379">
        <w:rPr>
          <w:rFonts w:eastAsia="Calibri" w:cs="Times New Roman"/>
          <w:sz w:val="28"/>
          <w:szCs w:val="28"/>
          <w:lang w:eastAsia="ru-RU"/>
        </w:rPr>
        <w:t>предложений и пожеланий жителей Талдомского округа.</w:t>
      </w:r>
    </w:p>
    <w:p w:rsidR="008F4379" w:rsidRPr="008F4379" w:rsidRDefault="008F4379" w:rsidP="008F4379">
      <w:pPr>
        <w:tabs>
          <w:tab w:val="left" w:pos="9639"/>
        </w:tabs>
        <w:ind w:right="566" w:firstLine="567"/>
        <w:jc w:val="both"/>
        <w:rPr>
          <w:rFonts w:eastAsia="Calibri" w:cs="Times New Roman"/>
          <w:sz w:val="28"/>
          <w:szCs w:val="28"/>
        </w:rPr>
      </w:pPr>
      <w:r w:rsidRPr="008F4379">
        <w:rPr>
          <w:rFonts w:eastAsia="Calibri" w:cs="Times New Roman"/>
          <w:sz w:val="28"/>
          <w:szCs w:val="28"/>
        </w:rPr>
        <w:t>Сейчас непростое для всей нашей страны время, период важнейших исторических событий, кардинальных перемен – свидетелями которых, становимся мы с вами, а это значит, что на каждом из нас лежит огромная ответственность перед Родиной и перед будущими поколениями, от каждого из нас зависит в каком государстве будут жить наши дети, будет ли гарантирована целостность России.</w:t>
      </w:r>
    </w:p>
    <w:p w:rsidR="008F4379" w:rsidRPr="008F4379" w:rsidRDefault="008F4379" w:rsidP="008F4379">
      <w:pPr>
        <w:tabs>
          <w:tab w:val="left" w:pos="9639"/>
        </w:tabs>
        <w:ind w:right="566" w:firstLine="567"/>
        <w:jc w:val="both"/>
        <w:rPr>
          <w:rFonts w:eastAsia="Calibri" w:cs="Times New Roman"/>
          <w:sz w:val="28"/>
          <w:szCs w:val="28"/>
        </w:rPr>
      </w:pPr>
      <w:r w:rsidRPr="008F4379">
        <w:rPr>
          <w:rFonts w:eastAsia="Calibri" w:cs="Times New Roman"/>
          <w:sz w:val="28"/>
          <w:szCs w:val="28"/>
        </w:rPr>
        <w:t>МЫ ВМЕСТЕ – лейтмотив, символ, отражение духа последних трёх лет. Главная и определяющая идеология.</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Мы все понимаем, что победа в СВО и максимум усилий для её достижения – это то, что сейчас всех нас объединяет. Мы все стараемся вносить свой вклад – и я благодарен всем, кто вовлечён в эту работу, кто помогает нашим ребятам, героям, которые сегодня защищают наши рубежи.</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 Талдомском округе активно помогают фронту, поддерживают бойцов, находящихся на передовой, заботятся о членах их семей.</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 администрацию поступило более 460 обращений по тематике СВО.</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Из средств Благотворительного Фонда «Гарант» были закуплены на общую сумму более 4 млн. рублей: дизельные генераторы, комплекты обмундирования, газовые баллоны, бензопилы, а также средства личной гигиены и расходные стройматериалы.</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Более 1 млн. рублей выделено на оказание материальной помощи из фонда, созданного при администрации Талдомского округа.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Мы вместе собрали и отправили бойцам в зону СВО более 700 тонн гуманитарного груза.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Администрация округа закупает ткань и основы для плетения маскировочных сетей и обеспечивает 14 пунктов плетения в округе. В конце 2024 года была произведена закупка ткани на сумму 500 тыс. рублей – всё передано в волонтерские штабы.</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За 2024 год сплетено и отправлено в зону СВО 2100 маскировочных сетей.</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 Талдомском округе функционирует Центр помощи семьям мобилизованных, работает пункт сбора помощи.</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По линии образования в 2024 году 113 семей участников СВО воспользовались льготами: для детей по бесплатному посещению детских садов, обеспечению бесплатным питанием в школах, организацией отдыха летом.</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Важная часть жизни любого общества – экономика, несмотря на внешнее давление и санкции, она была и остаётся стабильной.  Работа на связи, в диалоге, в команде позволила не только обеспечить устойчивость экономической ситуации в округе, но и показать существенный рост показателей.</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Исполнение бюджета Талдомского округа по доходам в 2024 году составило 4 млрд. 970 млн. рублей, рост к прошлому году на 13%, прирост составил 576 млн. руб. План по собственным доходам выполнен на 105 % и </w:t>
      </w:r>
      <w:r w:rsidRPr="008F4379">
        <w:rPr>
          <w:rFonts w:eastAsia="Calibri" w:cs="Times New Roman"/>
          <w:sz w:val="28"/>
          <w:szCs w:val="28"/>
          <w:lang w:eastAsia="ru-RU"/>
        </w:rPr>
        <w:lastRenderedPageBreak/>
        <w:t>составил 2 млрд. 32 млн. рублей, что на 81 млн. рублей больше, чем в предыдущем году. Поступление налога на доходы физических лиц выросло на 7%, что больше, чем в 2023 году на 98 млн. руб.</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Весомый вклад в экономику округа внесли предприятия-лидеры: Электромаш, Рустрест, Рубис, Рустмаш, Промсвязь, Консенсус, АМГ окна, Интерпак.</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Доходы бюджета от использования имущества, находящегося в государственной и муниципальной собственности, в 2024 году составили                136,7 млн. рублей – рост к 2023 году составил 125 %.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Доходы, получаемые в бюджет в виде арендной платы за земельные участки, находящиеся в государственной неразграниченной собственности за 2024 год составили 56 млн. рублей – рост к 2023 году 150%.</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Доходы бюджета от продажи земельных участков находящихся в государственной неразграниченной собственности и плата за увеличение площади земельных участков, находящихся в частной собственности в результате перераспределения таких участков в бюджет, составили 58 млн. 400 тыс. рублей при плане 23 млн. 200 тыс. рублей исполнение плановых назначений более чем в 2,5 раза превысили доходы прошлого года.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Доходы бюджета, получаемые в виде арендной платы за имущество, за 2024 год составили 3 млн. 386 тыс. руб.</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 целях пополнения доходной части бюджета, на регулярной основе осуществляла свою деятельность комиссия по мобилизации налоговых доходов и комиссия по аренде. В результате этой деятельности была проведена работа с более 1000 человек в рамках снижения задолженности по имущественным налогам и задолженности по арендной плате, задолженности муниципальных учреждений и предприятий, сотрудников муниципальных подведомственных учреждений и администрации, информированы о задолженности председатели СНТ. На протяжении всего 2024 года проводилась индивидуальная работа с крупными должниками. Результатом которой стало сокращение задолженности прошлых лет и текущего периода по платежам в бюджет на сумму около                    50 млн. рублей.</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В 2024 году администрации удалось дополнительно привлечь в округ                   1 млрд. 453 млн. рублей из бюджета региона на обеспечение наших программных мероприятий. Это больше, чем в 2023 году на 370 млн. рублей.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Эти средства направлены на образование, благоустройство, экологию. Расцениваю это как фактор доверия к территории со стороны Губернатора, Правительства Московской области и благодарен за эти возможности.</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Бюджет сохраняет свою социальную направленность.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В 2024 году расходы бюджета составили 5 миллиардов 102 миллиона рублей, 78% всех расходов направлено на социальную сферу и ЖКХ.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Наши предприятия смогли перестроиться и адаптироваться к новым условиям. Они сохранили рабочие места и высокие стандарты. Более того, целый ряд предприятий продолжил модернизацию и расширил своё производство.</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Общий объём отгрузки товаров собственного производства составил                21,6 млрд. рублей - рост к 2023 году составил 107,5%.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Важно, чтобы на территорию заходили предприятия базовой сферы – промышленность и сельское хозяйство.</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lastRenderedPageBreak/>
        <w:t xml:space="preserve">За год в округе зарегистрировались около 220 новых субъектов малого и среднего предпринимательства, включая индивидуальных предпринимателей.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Работают механизмы поддержки бизнеса. Объём финансовой и имущественной поддержки субъектов малого и среднего предпринимательства из всех бюджетов составил 44,4 млн. рублей. Оказана поддержка 36 малым и средним предприятиям.</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Постоянная обратная связь с предприятиями и сопровождения со стороны округа – эти принципы лежат в основе нашей работы по созданию комфортного делового климата.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На 1 февраля 2025 года уровень регистрируемой безработицы в округе составил 0,12% или 40 человек, доступно 713 вакансий. За прошедший год было создано 961 рабочее место. В большинстве своём они создавались на действующих предприятиях. Руководство округа заинтересовано в гораздо большем расширении рынка труда. Это важнейший социальный фактор. Наша цель - создание рабочих мест с достойными условиями и зарплатой рядом с домом.</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Одна из важнейших отраслей экономики – </w:t>
      </w:r>
      <w:r w:rsidRPr="008F4379">
        <w:rPr>
          <w:rFonts w:eastAsia="Calibri" w:cs="Times New Roman"/>
          <w:b/>
          <w:sz w:val="28"/>
          <w:szCs w:val="28"/>
          <w:lang w:eastAsia="ru-RU"/>
        </w:rPr>
        <w:t>сельское хозяйство</w:t>
      </w:r>
      <w:r w:rsidRPr="008F4379">
        <w:rPr>
          <w:rFonts w:eastAsia="Calibri" w:cs="Times New Roman"/>
          <w:sz w:val="28"/>
          <w:szCs w:val="28"/>
          <w:lang w:eastAsia="ru-RU"/>
        </w:rPr>
        <w:t>. Приоритетом в этой сфере является создание условий для предотвращения выбытия из сельскохозяйственного оборота земель и вовлечение новых.</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Агропромышленный комплекс Талдомского городского округа представлен 15 сельскохозяйственными предприятиями и 13 Крестьянскими (фермерскими) хозяйствами и индивидуальными предпринимателями, которые функционируют и развиваются на территории округа и являются основой для выполнения целевых показателей деятельности отрасли.</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В 2024 году сельхозтоваропроизводители Талдомского округа смогли добиться неплохих производственно-экономических показателей, так, в 2024 году общая посевная площадь в Талдомском округе составила 16 700 га, - это на 490 га больше, чем в 2023 году.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Под яровым севом в 2024 г. площадь составила 5 940 га, что на 812 га, больше по отношению к предыдущему году, рост на 16%.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Под озимым севом сельхоз культур площадь составила 1 638 га, что на 200 га или 14% больше по отношению к предыдущему севу.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Увеличение посевной площади на территории округа осуществляется за счет вовлечения в оборот заброшенных сельскохозяйственных земель.</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Подтверждением этому служит то, что в период с 2018 по 2023 годы на территории Талдомского городского округа было введено в сельскохозяйственный оборот 9 000 га, благодаря чему площадь рабочих сельхозземель с 8 000 га выросла до 17 000 га.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 2024 году площадь введенных в оборот неиспользованных сельскохозяйственных земель составила 551 га, что в 2 раза превысило плановые назначения. В 2025 году планируется ввести порядка 300 га.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Урожай 2024 года входит в тройку лучших урожаев за историю Талдомского городского округа.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Урожай зерновых культур составил 6 431 тонну, что на 4% больше от планового значения, с урожайностью – 23,3 ц/га.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Также собран хороший урожай картофеля. В округе им занимаются два сельхозпредприятия по выращиванию семенного картофеля –                              это ООО «Валмикс» и АО Агрофирма «Бунятино», которые смогли собрать               </w:t>
      </w:r>
      <w:r w:rsidRPr="008F4379">
        <w:rPr>
          <w:rFonts w:eastAsia="Calibri" w:cs="Times New Roman"/>
          <w:sz w:val="28"/>
          <w:szCs w:val="28"/>
          <w:lang w:eastAsia="ru-RU"/>
        </w:rPr>
        <w:lastRenderedPageBreak/>
        <w:t xml:space="preserve">32 800 тонн, что на 10 % больше к плановому значению, с урожайностью – 307,8 ц/га.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Талдомский городской округ остается безусловным лидером по производству семян картофеля в Московской области. Урожай семенного картофеля, собранный на территории Талдомского округа, составляет от 15% до 20% от общего объёма семенного картофеля, произведенного на территории Российской Федерации.</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По состоянию на конец 2024 года поголовье крупного рогатого скота составило порядка 1556 голов, с ростом на 4% к 2023 году. Численность племенного поголовья составила 674 головы и находится в племенном хозяйстве ООО «Золотой Колосок».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Поголовье мелкого рогатого скота достигло 2 826 голов, что на 152 головы больше 2023 года.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Общее поголовье свиней составило 6 162 головы, что на 460 голов больше 2023 года. На территории округа действует одно свиноводческое предприятие ООО «Неофам Григорово», на которое приходится 99% от общего поголовья всех свиней в округе. </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Валовое производство молока в 2024 году на территории Талдомского округа достигло 5,1 тыс. тонн, что на 124% больше планового значения.</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По результатам 2024 года, индекс производства сельскохозяйственной продукции составил 111,77%. 100%-ное выполнение плана позволяет нам полноценно покрывать внутренние потребности и обеспечивать продовольственную безопасность населения округа.</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План заготовок кормов в целом по городскому округу выполнен на 100%, это средний показатель уровня последних трёх лет.</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Администрация Талдомского округа постоянно работает над созданием привлекательной и комфортной инвестиционной политики в округе. Ряд инвестиционных проектов, которые реализуются на территории округа, сосредоточены в отрасли сельского хозяйства. Один из крупных проектов на территории округа – это строительство современного картофелехранилища мощностью 10 000 тонн сельскохозяйственным предприятием АО «Агрофирма Бунятино», которое было завершено в 2024 году.  Также сельхозпредприятие приступило к реализации проекта по расчистке мелиоративной системы, что позволило дополнительно ввести в оборот порядка 300 га сельхозземель.</w:t>
      </w:r>
    </w:p>
    <w:p w:rsidR="008F4379" w:rsidRPr="008F4379" w:rsidRDefault="008F4379" w:rsidP="008F4379">
      <w:pPr>
        <w:tabs>
          <w:tab w:val="left" w:pos="9639"/>
        </w:tabs>
        <w:ind w:right="566" w:firstLine="567"/>
        <w:jc w:val="both"/>
        <w:rPr>
          <w:rFonts w:eastAsia="Calibri" w:cs="Times New Roman"/>
          <w:sz w:val="28"/>
          <w:szCs w:val="28"/>
          <w:lang w:eastAsia="ru-RU"/>
        </w:rPr>
      </w:pPr>
      <w:r w:rsidRPr="008F4379">
        <w:rPr>
          <w:rFonts w:eastAsia="Calibri" w:cs="Times New Roman"/>
          <w:sz w:val="28"/>
          <w:szCs w:val="28"/>
          <w:lang w:eastAsia="ru-RU"/>
        </w:rPr>
        <w:t xml:space="preserve">Общий объем инвестиций в сфере сельского хозяйства составил 431,6 млн. рублей, что на 107,9% больше планового значения. В отрасли действуют меры государственной поддержки в виде субсидий. В 2024 году аграрии Талдомского городского округа получили порядка 50 млн. рублей господдержки.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b/>
          <w:color w:val="000000"/>
          <w:sz w:val="28"/>
          <w:szCs w:val="28"/>
          <w:lang w:eastAsia="ru-RU"/>
        </w:rPr>
        <w:t>Потребительский рынок</w:t>
      </w:r>
      <w:r w:rsidRPr="008F4379">
        <w:rPr>
          <w:rFonts w:eastAsia="Calibri" w:cs="Times New Roman"/>
          <w:color w:val="000000"/>
          <w:sz w:val="28"/>
          <w:szCs w:val="28"/>
          <w:lang w:eastAsia="ru-RU"/>
        </w:rPr>
        <w:t xml:space="preserve"> Талдомского городского округа - это сеть объектов торговли, предприятия общественного питания, а также сфера платных бытовых услуг. Это один из самых динамично развивающихся сегментов экономики округа.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По состоянию на 01 января 2025 года на территории Талдомского городского округа расположено 505 объектов торговли.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Оборот розничной торговли увеличился на 18 % к 2023 году, активно развивается сфера пунктов выдачи интернет-заказов.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lastRenderedPageBreak/>
        <w:t>В прошедшем году в 88 населенных пунктов осуществлялась доставка товаров автолавками для населения, проживающего в малонаселенных, удаленных населенных пунктах с компенсацией транспортных расходов за счёт средств областного и местного бюджета на сумму 4,621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На территории Талдомского округа оказывается более 20 видов бытовых услуг на 163 объектах, работают 40 предприятий общественного питания.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Населению оказывалась помощь в сфере защиты прав потребителей в виде консультационной помощи, а также в подготовке необходимой документации для решения спорных вопросов с продавцом. В 2024 году рассмотрено 12 обращений граждан.</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b/>
          <w:color w:val="000000"/>
          <w:sz w:val="28"/>
          <w:szCs w:val="28"/>
          <w:lang w:eastAsia="ru-RU"/>
        </w:rPr>
        <w:t>Дороги</w:t>
      </w:r>
      <w:r w:rsidRPr="008F4379">
        <w:rPr>
          <w:rFonts w:eastAsia="Calibri" w:cs="Times New Roman"/>
          <w:color w:val="000000"/>
          <w:sz w:val="28"/>
          <w:szCs w:val="28"/>
          <w:lang w:eastAsia="ru-RU"/>
        </w:rPr>
        <w:t xml:space="preserve"> – всегда в числе первостепенных запросов населения. В 2024 году на территории Талдомского городского округа выполнен ремонт региональных и муниципальных автомобильных дорог общей протяженностью 33 км.</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2025 году на территории Талдомского городского округа планируется отремонтировать 17 участков муниципальных автомобильных дорог общей протяженностью более 14 километров. </w:t>
      </w:r>
    </w:p>
    <w:p w:rsidR="008F4379" w:rsidRPr="008F4379" w:rsidRDefault="008F4379" w:rsidP="008F4379">
      <w:pPr>
        <w:tabs>
          <w:tab w:val="left" w:pos="9639"/>
        </w:tabs>
        <w:ind w:right="566" w:firstLine="567"/>
        <w:jc w:val="both"/>
        <w:rPr>
          <w:rFonts w:eastAsia="Calibri" w:cs="Times New Roman"/>
          <w:color w:val="000000"/>
          <w:sz w:val="28"/>
          <w:szCs w:val="28"/>
          <w:highlight w:val="yellow"/>
          <w:lang w:eastAsia="ru-RU"/>
        </w:rPr>
      </w:pPr>
      <w:r w:rsidRPr="008F4379">
        <w:rPr>
          <w:rFonts w:eastAsia="Calibri" w:cs="Times New Roman"/>
          <w:color w:val="000000"/>
          <w:sz w:val="28"/>
          <w:szCs w:val="28"/>
          <w:lang w:eastAsia="ru-RU"/>
        </w:rPr>
        <w:t>Также на территории округа будет отремонтировано более 14,5 км региональных автомобильных дорог. К ремонту дорог приступят в апреле, а завершить ремонтный сезон запланировано осенью.</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Регулярно проводится замена, ремонт и обслуживание дорожных знаков и ограждений.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Работа </w:t>
      </w:r>
      <w:r w:rsidRPr="008F4379">
        <w:rPr>
          <w:rFonts w:eastAsia="Calibri" w:cs="Times New Roman"/>
          <w:b/>
          <w:color w:val="000000"/>
          <w:sz w:val="28"/>
          <w:szCs w:val="28"/>
          <w:lang w:eastAsia="ru-RU"/>
        </w:rPr>
        <w:t>общественного транспорта</w:t>
      </w:r>
      <w:r w:rsidRPr="008F4379">
        <w:rPr>
          <w:rFonts w:eastAsia="Calibri" w:cs="Times New Roman"/>
          <w:color w:val="000000"/>
          <w:sz w:val="28"/>
          <w:szCs w:val="28"/>
          <w:lang w:eastAsia="ru-RU"/>
        </w:rPr>
        <w:t xml:space="preserve"> - всегда в числе важнейших тем. Для организации транспортного обслуживания населения в округе имеется 21 регулярный маршрут по регулируемым тарифам, на которых отдельным категориям граждан предоставляются меры социальной поддержки. Маршруты регулярных перевозок в Талдомском городском округе обслуживает «МАП №9 г. Долгопрудный» филиал АО «Мострансавто».</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Общая протяженность маршрутной сети оставляет 1186,3 км. Ведется регулярный контроль транспортной работы перевозчика. Всего в 2024 году было перевезено 2707,7 тыс. пассажиров.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Ещё одно из важнейших направлений в региональной и муниципальной повестке – это </w:t>
      </w:r>
      <w:r w:rsidRPr="008F4379">
        <w:rPr>
          <w:rFonts w:eastAsia="Calibri" w:cs="Times New Roman"/>
          <w:b/>
          <w:color w:val="000000"/>
          <w:sz w:val="28"/>
          <w:szCs w:val="28"/>
          <w:lang w:eastAsia="ru-RU"/>
        </w:rPr>
        <w:t>расселение граждан из аварийного жилья</w:t>
      </w:r>
      <w:r w:rsidRPr="008F4379">
        <w:rPr>
          <w:rFonts w:eastAsia="Calibri" w:cs="Times New Roman"/>
          <w:color w:val="000000"/>
          <w:sz w:val="28"/>
          <w:szCs w:val="28"/>
          <w:lang w:eastAsia="ru-RU"/>
        </w:rPr>
        <w:t>.</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С 1 января 2024 года стартовал новый этап государственной программы Московской области «Переселение граждан из аварийного жилищного фонда в Московской области».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Государственную программу включены 57 многоквартирных домов, расположенных на территории Талдомского городского округа, которые признаны аварийными с 2017 по 01.04.2024 года.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путем предоставления выкупной стоимости переселены 129 человек из 62 жилых помещений общей площадью 2342,9 кв.м. Из них 47 собственников дополнительно получили субсидию на приобретение (строительство) жилых помещений. Кроме этого 15 человек из трех жилых помещений общей площадью 110,2 кв.м. переселены путем приобретения квартир на вторичном рынке жилья.</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2024 году заключен муниципальный контракт на выполнение работ по проектированию и строительству многоквартирного жилого дома по адресу:              г. Талдом, мкр. Солнечный. Планируется расселить 74 жилых помещения </w:t>
      </w:r>
      <w:r w:rsidRPr="008F4379">
        <w:rPr>
          <w:rFonts w:eastAsia="Calibri" w:cs="Times New Roman"/>
          <w:color w:val="000000"/>
          <w:sz w:val="28"/>
          <w:szCs w:val="28"/>
          <w:lang w:eastAsia="ru-RU"/>
        </w:rPr>
        <w:lastRenderedPageBreak/>
        <w:t>общей площадью 2,8 тыс. кв.м., расположенных в аварийных домах г. Талдома и близлежащих деревень. В настоящее время проводятся работы по подготовке проектной документации, в 2025 году планируется выполнить строительство дома.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Кроме того, продолжается строительство многоквартирного дома                           на ул. Заводская в п. Вербилки в рамках контракта, заключенного в 2024 году. В 2025 году в новый дом будут переселены 309 граждан из 17 аварийных домов, расположенных в Вербилках общей площадью 3363,2 кв.м.</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Социальная поддержка </w:t>
      </w:r>
      <w:r w:rsidRPr="008F4379">
        <w:rPr>
          <w:rFonts w:eastAsia="Calibri" w:cs="Times New Roman"/>
          <w:b/>
          <w:color w:val="000000"/>
          <w:sz w:val="28"/>
          <w:szCs w:val="28"/>
          <w:lang w:eastAsia="ru-RU"/>
        </w:rPr>
        <w:t>молодых семей</w:t>
      </w:r>
      <w:r w:rsidRPr="008F4379">
        <w:rPr>
          <w:rFonts w:eastAsia="Calibri" w:cs="Times New Roman"/>
          <w:color w:val="000000"/>
          <w:sz w:val="28"/>
          <w:szCs w:val="28"/>
          <w:lang w:eastAsia="ru-RU"/>
        </w:rPr>
        <w:t xml:space="preserve"> – важнейшая составляющая государственной политики в области развития института семьи. В Талдомском округе за 17 лет реализации программы «Обеспечение жильем молодых семей» жилые помещения приобрели 109 семей.</w:t>
      </w:r>
      <w:r w:rsidRPr="008F4379">
        <w:rPr>
          <w:rFonts w:eastAsia="Calibri" w:cs="Times New Roman"/>
          <w:color w:val="000000"/>
          <w:sz w:val="28"/>
          <w:szCs w:val="28"/>
          <w:lang w:eastAsia="ru-RU"/>
        </w:rPr>
        <w:tab/>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2024 году - выдано 5 Свидетельств, общая сумма которых составила более 13 миллионов рублей.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Водо- и теплоснабжение, дворы, подъезды – всё, что входит в систему жизнеобеспечения, то, с чем каждый сталкивается ежедневно – это </w:t>
      </w:r>
      <w:r w:rsidRPr="008F4379">
        <w:rPr>
          <w:rFonts w:eastAsia="Calibri" w:cs="Times New Roman"/>
          <w:b/>
          <w:color w:val="000000"/>
          <w:sz w:val="28"/>
          <w:szCs w:val="28"/>
          <w:lang w:eastAsia="ru-RU"/>
        </w:rPr>
        <w:t>ЖКХ</w:t>
      </w:r>
      <w:r w:rsidRPr="008F4379">
        <w:rPr>
          <w:rFonts w:eastAsia="Calibri" w:cs="Times New Roman"/>
          <w:color w:val="000000"/>
          <w:sz w:val="28"/>
          <w:szCs w:val="28"/>
          <w:lang w:eastAsia="ru-RU"/>
        </w:rPr>
        <w:t>.</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Большая работа проводилась и проводится в сфере модернизации жилищно-коммунального хозяйства.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2024 году были отремонтированы 56 подъездов, что важно – с заменой оконных блоков, 46 подъездов планируется отремонтировать в 2025 году на сумму более 35 млн. рублей.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рамках краткосрочного плана капитального ремонта общего имущества многоквартирных домов на 2023-2025 гг. Фондом капитального ремонта на территории округа в 17-ти многоквартирных домах произведена замена внутридомового газового оборудования.</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Большая потребность в ремонте кровель. В 2024 году отремонтированы                14 крыш.</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За 2024 год произведена замена канализации в подвалах 5 многоквартирных жилых домов на сумму более 2 млн. рублей, выполнены работы по текущему ремонту отмостки и цоколя 4 многоквартирных жилых домов на сумму около 2 млн. рублей, выполнены работы по герметизации швов в многоквартирных жилых домах на сумму более 7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системе ЖКХ много проблем, требующих решения как в текущем режиме, так и в формате больших ресурсо-затратных проектов.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рамках реализации Государственной программы Московской области «Развитие инженерной инфраструктуры, энергоэффективности и отрасли обращения с отходами 2023-2028 гг.» в 2024 году на территории Талдомского городского округа была проведена большая работа по реконструкции тепловых сетей: в мкр. Юбилейный заменено 2633 п.м. сетей, в Запрудне – 3810 п.м. на общую сумму 309,7 млн. рублей. Реализация данного мероприятия позволила существенно улучшить качественное пользование услугой по отоплению.</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На 2025 год произведены закупочные процедуры и будут продолжены мероприятия по капитальному ремонту участков тепловых сетей: в Талдоме –1080 п.м на сумму 79 млн. рублей; в Запрудне – 2561 п.м на сумму 207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рамках реализации Государственной программы Московской области «Развитие инженерной инфраструктуры, энергоэффективности и отрасли </w:t>
      </w:r>
      <w:r w:rsidRPr="008F4379">
        <w:rPr>
          <w:rFonts w:eastAsia="Calibri" w:cs="Times New Roman"/>
          <w:color w:val="000000"/>
          <w:sz w:val="28"/>
          <w:szCs w:val="28"/>
          <w:lang w:eastAsia="ru-RU"/>
        </w:rPr>
        <w:lastRenderedPageBreak/>
        <w:t xml:space="preserve">обращения с отходами 2023-2028 гг.» ведётся строительство автоматизированной блочно-модульной котельной производительностью                   11 МВт в п. Северный – на сумму 154 млн. рублей.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Ещё одно важнейшее условие качества жизни – чистая вода.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планах на 2025 год продолжить масштабные ремонты и реконструкции: реконструкция очистных в д. Ермолино 2025-2026 гг. на сумму 57 млн. рублей; реконструкция ВЗУ в д. Ермолино на сумму 32,6 млн. рублей и ВЗУ д. Юркино на сумму 30,3 млн. рублей. В Вербилках запланирована реконструкция дюкера в 2025-2026 гг. на сумму 102,95 млн. рублей, напорного коллектора в 2025-2026 гг. на сумму 165,154 млн. рублей и канализации на 2025-2027 гг. на сумму в 395,45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течение года проводился мониторинг территории округа на предмет наличия несанкционированных свалок мусора. Свалки выявлялись и ликвидировались незамедлительно. Всего в 2024 году на территории округа выявлено 12 крупных свалок и 40 несанкционированных навалов мусора, общий объем вывезенного несанкционированного мусора    составил 3,4 тыс. кубометров.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За счет субвенции Московской области в 2024 году на землях лесного фонда выявлено и ликвидировано 8 свалок строительных отходов общим объемом 58 кубометров.  В 2025 году данные работы планируется продолжить.</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На прилегающих территориях муниципальных контейнерных площадок за 2024 год было выявлено и ликвидировано несанкционированных навалов строительного мусора и порубочных остатков общим объемом                                5 тыс. кубометров. Данные мероприятия по выявлению и ликвидации свалок также запланированы на 2025 г, в том числе на землях гослесфонда.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Мы в ежедневном режиме обеспечиваем чистоту, комфорт, безопасность, региональный стандарт на игровых площадках, во дворах. Важность этой работы сложно переоценить.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К важным итогам года следует отнести благоустройство 7 дворовых территорий, установку 5 детских площадок. Одна площадка по программе Губернатора модернизирована в посёлке Вербилки.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рамках программы губернатора «Народные тропы» благоустроены 4 тропинки в тех местах, где удобно ходить людям. Теперь это полноценные пешеходные дорожки. Планы на 2025 год отражают примерно те же цифры.</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 программе «Светлый город» в деревне Юркино появилось новое освещение - благодаря активности жителей, проголосовавших в 2023 году за обустройство новой линии освещения. Протяжённость новой линии освещения по ул. Радужная составила 450 м и 10 светильников. На 2025 год запланировано продолжение проекта «Светлый город».</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Мы стремимся создать нашим жителям комфортные условия не только для проживания, но и для полноценного досуга. Для этого огромная работа продолжается в сфере </w:t>
      </w:r>
      <w:r w:rsidRPr="008F4379">
        <w:rPr>
          <w:rFonts w:eastAsia="Calibri" w:cs="Times New Roman"/>
          <w:b/>
          <w:color w:val="000000"/>
          <w:sz w:val="28"/>
          <w:szCs w:val="28"/>
          <w:lang w:eastAsia="ru-RU"/>
        </w:rPr>
        <w:t>благоустройства</w:t>
      </w:r>
      <w:r w:rsidRPr="008F4379">
        <w:rPr>
          <w:rFonts w:eastAsia="Calibri" w:cs="Times New Roman"/>
          <w:color w:val="000000"/>
          <w:sz w:val="28"/>
          <w:szCs w:val="28"/>
          <w:lang w:eastAsia="ru-RU"/>
        </w:rPr>
        <w:t xml:space="preserve">.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Преображается территория округа. Большой комплекс работ проведен по реконструкции площади Карла Маркса в Талдоме. В 2025 году завершится заключительный этап благоустройства площади Карла Маркса, общая сумма работ – 181,6 млн. руб. Преображённая площадь заставит по-новому </w:t>
      </w:r>
      <w:r w:rsidRPr="008F4379">
        <w:rPr>
          <w:rFonts w:eastAsia="Calibri" w:cs="Times New Roman"/>
          <w:color w:val="000000"/>
          <w:sz w:val="28"/>
          <w:szCs w:val="28"/>
          <w:lang w:eastAsia="ru-RU"/>
        </w:rPr>
        <w:lastRenderedPageBreak/>
        <w:t>«заиграть» город, преобразив его и сделав более привлекательным для жителей и гостей округа.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в деревне Маклаково был проведен ремонт навесного пешеходного моста через реку Хотча, который после проведенного ремонта и благоустройства прилегающей территории теперь доступен для жителей и гостей округа. Сейчас мост, связывающий несколько населенных пунктов, обустроен тросовым ограждением, подходами из металлического настила на свайной основе и тротуаром. Прилегающая территория очищена от кустарника и гнилых деревьев, благоустроена малыми архитектурными формами, проведено освещение.</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2025 году будет обустроен «Сквер им. Корсакова» в п. Запрудня по улице Первомайская. В этом году приступим к обустройству сквера рядом с Талдомским Центральным Домом культуры. В 2025 году предусмотрена разработка проектной документации, 2026 год – строительство сквера. Эта часть города станет более опрятной, красивой, ухоженной.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Несомненно, эти территории станут новыми точками притяжения для жителей.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 состоянию на 31 декабря 2024 года в Реестре (Сводной описи) муниципального имущества числится 8630 объектов, в том числе 4834 объекта недвижимого имущества, из них 303 земельных участка и 3796 объектов движимого имущества.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Комитетом по управлению имуществом в рамках проведения муниципального земельного контроля было проведено 3211 плановых осмотров земельных участков. По результатам проведённого муниципального земельного контроля, для 1395 земельных участков в 2025 году будет произведен перерасчет по повышенной налоговой ставке 1,5%.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специалистами комитета было подготовлено 915 проектов постановлений по предоставлению земельных участков в аренду и собственность. За 2024 год было заключено: 241 договор купли-продажи земельных участков, 324 договора аренды земельных участков, 350 соглашений о перераспределении земельных участков.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соответствии с Законом Московской области от 01.06.2011 N 73/2011-ОЗ «О бесплатном предоставлении земельных участков многодетным семьям в Московской области» за 2024 год предоставлено 50 земельных участков многодетным семьям, получили выплату (400 тыс. руб. по Постановлению правительства Московской области № 825-ПП от 7 августа 2024 года) 20 семей. Всего с момента начала действия закона обеспечено земельными участками 389 семей. Земельные участки представляются из собственного земельного фонда.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рамках реализации Государственной программы в 2024 году было предоставлено врачам, работающим на территории Талдомского городского округа, 17 земельных участков. В 2025 году работа будет продолжена.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поставлено на кадастровый учет и приняты Росреестром на учет в качестве бесхозяйных объектов недвижимого имущества (нежилые здания, строения, сооружения) имеющие признаки бесхозяйного недвижимого имущества 29 объектов капитального строительства (здания, строения, сооружения, линейные объекты).</w:t>
      </w:r>
    </w:p>
    <w:p w:rsidR="008F4379" w:rsidRPr="008F4379" w:rsidRDefault="008F4379" w:rsidP="008F4379">
      <w:pPr>
        <w:tabs>
          <w:tab w:val="left" w:pos="9639"/>
        </w:tabs>
        <w:ind w:right="566" w:firstLine="567"/>
        <w:jc w:val="both"/>
        <w:rPr>
          <w:rFonts w:eastAsia="Calibri" w:cs="Times New Roman"/>
          <w:color w:val="FF0000"/>
          <w:sz w:val="28"/>
          <w:szCs w:val="28"/>
          <w:lang w:eastAsia="ru-RU"/>
        </w:rPr>
      </w:pPr>
      <w:r w:rsidRPr="008F4379">
        <w:rPr>
          <w:rFonts w:eastAsia="Calibri" w:cs="Times New Roman"/>
          <w:color w:val="000000"/>
          <w:sz w:val="28"/>
          <w:szCs w:val="28"/>
          <w:lang w:eastAsia="ru-RU"/>
        </w:rPr>
        <w:lastRenderedPageBreak/>
        <w:t xml:space="preserve">В 2024 году продолжилась работа по самообследованию муниципального имущества и вовлечению его в хозяйственный оборот, всего было обследовано 966 объектов из них 729 земельных участков и 237 объектов капитального строительства, в ходе которого были выявлены земельные участки и объекты капитального строительства, которые дополнительно можно вовлечь в хозяйственных оборот. Таким образом, в 2024 году для вовлечения в хозяйственный оборот неиспользуемых объектов недвижимости, Комитетом были выставлены на торги 3 объекта, два из них реализованы.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Ежегодно отделом архитектуры и градостроительства проводятся работы по выдаче 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и допустимости размещения объекта индивидуального жилищного строительства или садового дома на земельном участке (200 шт.),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(34 шт.),</w:t>
      </w:r>
      <w:r w:rsidRPr="008F4379">
        <w:rPr>
          <w:rFonts w:eastAsia="Calibri" w:cs="Times New Roman"/>
          <w:color w:val="FF0000"/>
          <w:sz w:val="28"/>
          <w:szCs w:val="28"/>
          <w:lang w:eastAsia="ru-RU"/>
        </w:rPr>
        <w:t xml:space="preserve"> </w:t>
      </w:r>
      <w:r w:rsidRPr="008F4379">
        <w:rPr>
          <w:rFonts w:eastAsia="Calibri" w:cs="Times New Roman"/>
          <w:color w:val="000000"/>
          <w:sz w:val="28"/>
          <w:szCs w:val="28"/>
          <w:lang w:eastAsia="ru-RU"/>
        </w:rPr>
        <w:t>проведению инвентаризации объектов (2101 шт.), выдаче ордера на право производства земляных работ (395 шт.), присвоению адресов объектам недвижимости (1270 шт.),</w:t>
      </w:r>
      <w:r w:rsidRPr="008F4379">
        <w:rPr>
          <w:rFonts w:eastAsia="Calibri" w:cs="Times New Roman"/>
          <w:color w:val="FF0000"/>
          <w:sz w:val="28"/>
          <w:szCs w:val="28"/>
          <w:lang w:eastAsia="ru-RU"/>
        </w:rPr>
        <w:t xml:space="preserve"> </w:t>
      </w:r>
      <w:r w:rsidRPr="008F4379">
        <w:rPr>
          <w:rFonts w:eastAsia="Calibri" w:cs="Times New Roman"/>
          <w:color w:val="000000"/>
          <w:sz w:val="28"/>
          <w:szCs w:val="28"/>
          <w:lang w:eastAsia="ru-RU"/>
        </w:rPr>
        <w:t>согласованию установки средств размещения информации на территории (93 шт.) и многое другое.</w:t>
      </w:r>
      <w:r w:rsidRPr="008F4379">
        <w:rPr>
          <w:rFonts w:eastAsia="Calibri" w:cs="Times New Roman"/>
          <w:color w:val="000000"/>
          <w:sz w:val="22"/>
        </w:rPr>
        <w:t xml:space="preserve">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Сегодня очевидно, что архитектура, городская среда формируют психологию жителей.  Лучше становится город – лучше становится настроение, социальное самочувствие людей. Кроме того, это проявление вкуса, стиля, это в том числе отношение к малой родине, ожидания населения от власти и оценка власти.</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При всей важности стабильной работы различных отраслей есть то, что важно вдвойне – это здоровье людей. Системно реализуется план мероприятий по разным направлениям, суть которого – помочь в оздоровлении, повысить качество оказания медицинской помощи.</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Ни одна тема не волнует людей так, как качество медицинского обслуживания. Модернизация системы </w:t>
      </w:r>
      <w:r w:rsidRPr="008F4379">
        <w:rPr>
          <w:rFonts w:eastAsia="Calibri" w:cs="Times New Roman"/>
          <w:b/>
          <w:color w:val="000000"/>
          <w:sz w:val="28"/>
          <w:szCs w:val="28"/>
          <w:lang w:eastAsia="ru-RU"/>
        </w:rPr>
        <w:t>здравоохранения</w:t>
      </w:r>
      <w:r w:rsidRPr="008F4379">
        <w:rPr>
          <w:rFonts w:eastAsia="Calibri" w:cs="Times New Roman"/>
          <w:color w:val="000000"/>
          <w:sz w:val="28"/>
          <w:szCs w:val="28"/>
          <w:lang w:eastAsia="ru-RU"/>
        </w:rPr>
        <w:t xml:space="preserve"> округа – один из наших приоритетов.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соответствии с распоряжением Правительства Московской области от 08.04.2024 года №195-РП; Приказом Министерства здравоохранения Московской области от 10.04.2024 года №203 в целях повышения доступности и улучшения качества медицинской помощи населению проведена реорганизация ГБУЗ МО «Талдомская больница» путем присоединения к ГБУЗ МО «Дубненская больница». В составе ГБУЗ МО «Дубненская больница»: Талдомское отделение, Запрудненское отделение, Вербилковское отделение.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Талдомском округе по-прежнему продолжают работу взрослые и детские поликлиники, отделения круглосуточного стационара, фельдшерско-акушерские пункты для оказания медицинской помощи на высоком уровне: доврачебной, врачебной, лечебно-диагностической, как в условиях поликлиник, так и в условиях отделений круглосуточного стационара. С Министерством здравоохранения Московской области согласован вопрос </w:t>
      </w:r>
      <w:r w:rsidRPr="008F4379">
        <w:rPr>
          <w:rFonts w:eastAsia="Calibri" w:cs="Times New Roman"/>
          <w:color w:val="000000"/>
          <w:sz w:val="28"/>
          <w:szCs w:val="28"/>
          <w:lang w:eastAsia="ru-RU"/>
        </w:rPr>
        <w:lastRenderedPageBreak/>
        <w:t>сохранения акушерско-гинекологического отделения на 15 коек в Талдомском отделении Дубненской больницы.</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При поддержке Правительства Московской области медицинские учреждения округа были дооснащены специальным оборудованием – это рентгеновские комплексы и эндоскопическое оборудование. Для установки современного цифрового оборудования предварительно проводился ремонт помещений: стационар Талдом, поликлиники Запрудня и Вербилки, там были установлены 3 новых рентген-аппарата общей стоимостью более 20 млн. рублей; оборудование для реабилитации в отделение реабилитации в                           п. Запрудня, общей стоимостью 60 млн. рублей; оборудование для эндоскопических исследований в стационаре г. Талдом, общей стоимостью свыше 8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Проводится ремонт компьютерного томографа в стационаре Талдома, ремонт маммографического аппарата. Проведен ремонт 3 рентген-кабинетов, стационар Талдом, поликлиники: Запрудня и Вербилки.</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Выполнено асфальтирование больничной территории в Талдоме. За счет средств предпринимателей и жителей Талдомского округа завершено строительство перехода между поликлиническими корпусами А и Б. По программе субсидирования Министерством здравоохранения проведена замена забора по периметру взрослой поликлиники по ул. Победа г. Талдом. Продолжаются ремонтные работы корпуса Б взрослой поликлиники в Талдоме, планируемый срок окончания III квартал 2025 года. Пищеблок в Талдомском отделении также включен в план проведения текущего ремонта в 2025 году.</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За счет средств администрации Талдомского городского округа завершен ремонт в ФАП с. Новоникольское, сейчас он проходит стадию лицензирования, запланировано оснащение оборудованием и мебелью.</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Завершен ремонт 1 этажа стационара Запрудненского отделения. Идет перевод круглосуточного отделения гериатрии из Вербилковского отделения на 1-й этаж Запрудненского отделения.</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Важная составляющая работы – привлечение медицинских кадров. За 2024 год в округ привлечён 21 врач. Укомплектованность врачами первичного звена по Талдомскому отделению, в том числе Запрудня, Вербилки составляет 90 %. В поликлинические подразделения Талдомского отделения привлечены                            4 фельдшера, из них 3 фельдшера направлены в отделение неотложной помощи поликлиники и 1 фельдшер в Григоровский ФАП, укомплектованность фельдшерами ФАП – 100%.</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Будем продолжать и дальше делать всё возможное, чтобы медицина в нашем округе была современной, качественной, высокотехнологичной и доступной!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Неизменным приоритетом в нашей работе является система </w:t>
      </w:r>
      <w:r w:rsidRPr="008F4379">
        <w:rPr>
          <w:rFonts w:eastAsia="Calibri" w:cs="Times New Roman"/>
          <w:b/>
          <w:color w:val="000000"/>
          <w:sz w:val="28"/>
          <w:szCs w:val="28"/>
          <w:lang w:eastAsia="ru-RU"/>
        </w:rPr>
        <w:t>образования</w:t>
      </w:r>
      <w:r w:rsidRPr="008F4379">
        <w:rPr>
          <w:rFonts w:eastAsia="Calibri" w:cs="Times New Roman"/>
          <w:color w:val="000000"/>
          <w:sz w:val="28"/>
          <w:szCs w:val="28"/>
          <w:lang w:eastAsia="ru-RU"/>
        </w:rPr>
        <w:t>.</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системе образования округа на декабрь 2024 года - 12 образовательных учреждений: 10 общеобразовательных школ (9 образовательных комплексов, имеющих дошкольные отделения и 1 школа-интернат для детей с ОВЗ);                       1 учреждение дополнительного образования (Дом детского творчества);                         1 детский сад (образовательный комплекс) в настоящее время находится в процессе реорганизации путем присоединения к МОУ СОШ № 2 г. Талдома.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lastRenderedPageBreak/>
        <w:t>Таким образом, в 2025 г. все детские сады округа станут дошкольными отделениями общеобразовательных школ.</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системе образования трудятся 961 человек, из них 610 педагогических работников.  Детские сады посещают 1864 ребенка, в школах обучаются 4826 человек. В рамках выполнения поручения Губернатора все дети в возрасте от 1,5 до 3 лет и старше обеспечены местами в детских садах.</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FF0000"/>
          <w:sz w:val="28"/>
          <w:szCs w:val="28"/>
          <w:lang w:eastAsia="ru-RU"/>
        </w:rPr>
        <w:t xml:space="preserve"> </w:t>
      </w:r>
      <w:r w:rsidRPr="008F4379">
        <w:rPr>
          <w:rFonts w:eastAsia="Calibri" w:cs="Times New Roman"/>
          <w:color w:val="000000"/>
          <w:sz w:val="28"/>
          <w:szCs w:val="28"/>
          <w:lang w:eastAsia="ru-RU"/>
        </w:rPr>
        <w:t>Система образования Талдомского округа в очередной раз подтвердила репутацию стабильной и эффективной. По результатам ежегодного рейтинга школ Московской области 6 из 9 общеобразовательных учреждений находятся в «зеленой зоне»: МОУ «Запрудненская гимназия», МОУ СОШ №1, №2, СОШ №3 г. Талдома, Вербилковская СОШ и Квашенковская СОШ. «Запрудненская гимназия» и МОУ СОШ №3 г. Талдома показывают стабильно высокие результаты на протяжении более 3 лет. Это коллективы профессионалов, способных эффективно и качественно решать все поставленные задачи, вести работу в условиях новых вызовов.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рамках национального проекта «Образование» по направлению «Современная школа» в 2024 году открыто еще 2 Центра «Точка роста»: в МОУ Вербилковской СОШ и МОУ СОШ № 1 г. Талдома. Теперь в округе насчитывается 12 таких Центров.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Порядка 50 млн. рублей затрачено в прошлом году на текущие ремонтные работы в образовательных учреждениях. Среди них:</w:t>
      </w:r>
      <w:r w:rsidRPr="008F4379">
        <w:rPr>
          <w:rFonts w:eastAsia="Calibri" w:cs="Times New Roman"/>
          <w:color w:val="FF0000"/>
          <w:sz w:val="28"/>
          <w:szCs w:val="28"/>
          <w:lang w:eastAsia="ru-RU"/>
        </w:rPr>
        <w:t xml:space="preserve"> </w:t>
      </w:r>
      <w:r w:rsidRPr="008F4379">
        <w:rPr>
          <w:rFonts w:eastAsia="Calibri" w:cs="Times New Roman"/>
          <w:color w:val="000000"/>
          <w:sz w:val="28"/>
          <w:szCs w:val="28"/>
          <w:lang w:eastAsia="ru-RU"/>
        </w:rPr>
        <w:t xml:space="preserve">текущий ремонт помещений пищеблоков в 7 учреждениях на сумму более 18,5 млн. рублей; ремонт внутренних помещений, входных групп дошкольных отделений – на сумму 18,4 млн. рублей.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После капитального ремонта в декабре 2024 года открыт второй зал музея Боевой славы г. Талдома, что позволило расширить экспозицию музея. Открытие третьего зала планируется к празднованию 80-летия Победы в Великой Отечественной войне.</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Приоритетной задачей образования остаётся повышение качества знаний школьников.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 итогам учебного года ежегодно отличники учебы 10-11 классов поощряются стипендией главы в размере 5000 рублей. В 2024 г. денежной премии удостоен 41 человек. Общая сумма выплаты составила – 205 тыс.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Медали министерства просвещения РФ «За особые успехи в учении» 1 и 2 степени по результатам учебного года были вручены 23 обучающимся из 8 школ округа.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Победителями и призёрами регионального этапа Всероссийской олимпиады школьников стали 55 человек (53 призера и 2 победителя).</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Традиционно были проведены профессиональные конкурсы «Педагог года Подмосковья» в номинациях «учитель» и «воспитатель», «Педагогический дебют», «За нравственный подвиг учителя», «Педагог-психолог Подмосковья», «Лучший учитель-предметник и лучший учитель начальных классов», в области дополнительного образования - «Сердце отдаю детям».</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Благодарен педагогам за высокий профессионализм, педагогическое мастерство и труд.</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rPr>
        <w:lastRenderedPageBreak/>
        <w:t>С детьми, попавшими в трудную жизненную ситуацию, проводят работу специалисты сектора по делам несовершеннолетних и защите их прав. За 2024 год было проведено 26 заседаний комиссии по делам несовершеннолетних и защите их прав,</w:t>
      </w:r>
      <w:r w:rsidRPr="008F4379">
        <w:rPr>
          <w:rFonts w:eastAsia="Calibri" w:cs="Times New Roman"/>
          <w:color w:val="FF0000"/>
          <w:sz w:val="28"/>
          <w:szCs w:val="28"/>
        </w:rPr>
        <w:t xml:space="preserve"> </w:t>
      </w:r>
      <w:r w:rsidRPr="008F4379">
        <w:rPr>
          <w:rFonts w:eastAsia="Calibri" w:cs="Times New Roman"/>
          <w:color w:val="000000"/>
          <w:sz w:val="28"/>
          <w:szCs w:val="28"/>
        </w:rPr>
        <w:t>специалистами сектора было подготовлено для рассмотрения 245 персональных дел.</w:t>
      </w:r>
      <w:r w:rsidRPr="008F4379">
        <w:rPr>
          <w:rFonts w:eastAsia="Calibri" w:cs="Times New Roman"/>
          <w:color w:val="FF0000"/>
          <w:sz w:val="28"/>
          <w:szCs w:val="28"/>
        </w:rPr>
        <w:t xml:space="preserve"> </w:t>
      </w:r>
      <w:r w:rsidRPr="008F4379">
        <w:rPr>
          <w:rFonts w:eastAsia="Calibri" w:cs="Times New Roman"/>
          <w:color w:val="000000"/>
          <w:sz w:val="28"/>
          <w:szCs w:val="28"/>
        </w:rPr>
        <w:t xml:space="preserve">В 2024 году Комиссией проводилась индивидуальная работа с 41 несовершеннолетним, профилактическая работа с 58 семьями, находящимися в социально опасном положении. </w:t>
      </w:r>
      <w:r w:rsidRPr="008F4379">
        <w:rPr>
          <w:rFonts w:eastAsia="Calibri" w:cs="Times New Roman"/>
          <w:color w:val="000000"/>
          <w:sz w:val="28"/>
          <w:szCs w:val="28"/>
          <w:lang w:eastAsia="ru-RU"/>
        </w:rPr>
        <w:t xml:space="preserve">На заседаниях Комиссии коллегиально принимается решение о проведении индивидуальной работы с семьей с привлечением заинтересованных субъектов профилактики. Комиссия осуществляет постоянный мониторинг исполнения принятых мер, который в большинстве случаев даёт положительные результаты.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В 2024 году было организовано и проведено 127 мероприятий по вопросам профилактики безнадзорности и правонарушений (межведомственные рейды, координационные совещания, дни профилактики, семинары и др.).</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 xml:space="preserve">В системе </w:t>
      </w:r>
      <w:r w:rsidRPr="008F4379">
        <w:rPr>
          <w:rFonts w:eastAsia="Times New Roman" w:cs="Times New Roman"/>
          <w:b/>
          <w:color w:val="000000"/>
          <w:sz w:val="28"/>
          <w:szCs w:val="28"/>
          <w:lang w:eastAsia="ru-RU"/>
        </w:rPr>
        <w:t>культуры</w:t>
      </w:r>
      <w:r w:rsidRPr="008F4379">
        <w:rPr>
          <w:rFonts w:eastAsia="Times New Roman" w:cs="Times New Roman"/>
          <w:color w:val="000000"/>
          <w:sz w:val="28"/>
          <w:szCs w:val="28"/>
          <w:lang w:eastAsia="ru-RU"/>
        </w:rPr>
        <w:t xml:space="preserve"> работа ведётся в 18 учреждениях культурно-досугового типа и направлена на реализацию действующих стандартов и проведение на качественно новом уровне массовых мероприятий, объединяющих и радующих людей. В 210 клубных формированиях занимается 3507 человек. </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На территории округа проведено более 7000 мероприятий – концертов, конкурсов, фестивалей, мероприятий, проводимых в домах культуры, парках и библиотеках.</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rPr>
        <w:t xml:space="preserve">Ярко и самобытно проявили себя наши творческие коллективы и солисты, подтвердив уровень своего мастерства признанием не только на сценах округа, но и за его пределами. </w:t>
      </w:r>
      <w:r w:rsidRPr="008F4379">
        <w:rPr>
          <w:rFonts w:eastAsia="Times New Roman" w:cs="Times New Roman"/>
          <w:color w:val="000000"/>
          <w:sz w:val="28"/>
          <w:szCs w:val="28"/>
          <w:shd w:val="clear" w:color="auto" w:fill="FFFFFF"/>
        </w:rPr>
        <w:t xml:space="preserve">Традиционные праздники приобрели новые краски, новый масштаб, новое содержание. Все 3 парка культуры и отдыха округа посетили более 715 000 человек. </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В 2024 году произошла реорганизация библиотечной сети округа.                       На 01 января 2025 года сеть библиотек составляет: Центральная библиотека и в ее состав входит 1 филиал – Запрудненская городская библиотека. Вербилковская библиотека, Темповский пункт книговыдачи, Кошелевский пункт книговыдачи и пункт книговыдачи в п. Северный находятся в зданиях и ведомственной принадлежности культурно-досуговых учреждений: МБУ Вербилковский ДК, МБУ Талдомский ЦДК, МБУ Дворец культуры «Прогресс». </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Процент охвата населения округа библиотечно-информационными услугами составляет 92%. Число пользователей составляет 9655. Размер совокупного книжного фонда публичных библиотек составил 111835 экземпляров. </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В округе 1 историко-литературный музей, который имеет два филиала в сельской местности. </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Музейная сеть округа динамично развивается, осуществляется государственный контроль над соблюдением условий хранения и учета музейных коллекций.</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Основной фонд насчитывает более 13000 единиц хранения, в постоянных экспозициях и в выставочной деятельности представлено 5% основного </w:t>
      </w:r>
      <w:r w:rsidRPr="008F4379">
        <w:rPr>
          <w:rFonts w:eastAsia="Times New Roman" w:cs="Times New Roman"/>
          <w:color w:val="000000"/>
          <w:sz w:val="28"/>
          <w:szCs w:val="28"/>
          <w:shd w:val="clear" w:color="auto" w:fill="FFFFFF"/>
        </w:rPr>
        <w:lastRenderedPageBreak/>
        <w:t>фонда. Посещаемость экскурсий, выставок и мероприятий, организованных музеем округа, составила 23,2 тыс. человек.</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В 2024 году произошла реорганизация сети детских школ искусств. На территории округа свою деятельность осуществляет только 1 МБУ Центральная детская школа искусств (с филиалом Вербилковская детская школа искусств и Талдомским структурным подразделением), где обучается 1150 учащихся, 677 человек обучаются по дополнительным предпрофессиональным программам.      В ВУЗы и ССУЗы культуры и искусства поступили 4 выпускника ДШИ.  Количество преподавателей и концертмейстеров - 66 человек, из них высшую квалификационную категорию имеют 39 преподавателей. Число детей, принявших участие в творческих мероприятиях в 2024 году - 1021 человек.</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В рамках реализации федерального проекта «Творческие люди» национального проекта «Культура» 47 работников учреждений сферы культуры повысили свою квалификацию. </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Значимое и долгожданное событие 2024 года - торжественное открытие Темповского Дома культуры филиала Вербилковского ДК после капитального ремонта. В рамках государственной программы Московской области «Культура и туризм» в 2024 году осуществлен текущий ремонт Темповского Дома культуры на сумму 20 млн. рублей. Произведена замена старых деревянных полов, стен, выполнен монтаж потолка, полностью заменена система электроснабжения и отопления. В помещениях установлены новые двери, современные светильники, полностью обновлен интерьер внутренних помещений: приобретена современная мебель, жалюзи на окна, новая музыкальная и световая аппаратура.</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За 2024 год на сумму более 14 млн. рублей проведены ремонтные работы в учреждениях культуры и спорта: осуществлен ремонт кабинетов в МБУДО Запрудненской Детской школе искусств, ремонт пола в хореографическом зале Вербилковского Дома культуры, проведен ремонт входных групп Молодежного центра «Выбор», Дворца культуры «Прогресс» и Квашенковского Дома культуры, ремонт крыльца Юркинского Дома культуры, ремонт фасада здания Дома культуры в п. Северный, ремонт запасного выхода Талдомского ЦДК, отремонтированы туалеты в ДК п. Северный и в Ермолинском ДК.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Times New Roman" w:cs="Times New Roman"/>
          <w:color w:val="000000"/>
          <w:sz w:val="28"/>
          <w:szCs w:val="28"/>
          <w:shd w:val="clear" w:color="auto" w:fill="FFFFFF"/>
        </w:rPr>
        <w:t xml:space="preserve">Талдомский округ имеет большой туристический потенциал. </w:t>
      </w:r>
      <w:r w:rsidRPr="008F4379">
        <w:rPr>
          <w:rFonts w:eastAsia="Calibri" w:cs="Times New Roman"/>
          <w:color w:val="000000"/>
          <w:sz w:val="28"/>
          <w:szCs w:val="28"/>
          <w:lang w:eastAsia="ru-RU"/>
        </w:rPr>
        <w:t xml:space="preserve">Развитие </w:t>
      </w:r>
      <w:r w:rsidRPr="008F4379">
        <w:rPr>
          <w:rFonts w:eastAsia="Calibri" w:cs="Times New Roman"/>
          <w:b/>
          <w:color w:val="000000"/>
          <w:sz w:val="28"/>
          <w:szCs w:val="28"/>
          <w:lang w:eastAsia="ru-RU"/>
        </w:rPr>
        <w:t>туризма</w:t>
      </w:r>
      <w:r w:rsidRPr="008F4379">
        <w:rPr>
          <w:rFonts w:eastAsia="Calibri" w:cs="Times New Roman"/>
          <w:color w:val="000000"/>
          <w:sz w:val="28"/>
          <w:szCs w:val="28"/>
          <w:lang w:eastAsia="ru-RU"/>
        </w:rPr>
        <w:t xml:space="preserve"> – важнейшая задача. Интерес к округу мы обязаны обеспечить системной, комплексной работой.</w:t>
      </w:r>
    </w:p>
    <w:p w:rsidR="008F4379" w:rsidRPr="008F4379" w:rsidRDefault="008F4379" w:rsidP="008F4379">
      <w:pPr>
        <w:tabs>
          <w:tab w:val="left" w:pos="9639"/>
        </w:tabs>
        <w:ind w:right="566" w:firstLine="567"/>
        <w:jc w:val="both"/>
        <w:rPr>
          <w:rFonts w:eastAsia="Times New Roman" w:cs="Times New Roman"/>
          <w:color w:val="000000"/>
          <w:sz w:val="28"/>
          <w:szCs w:val="28"/>
          <w:shd w:val="clear" w:color="auto" w:fill="FFFFFF"/>
        </w:rPr>
      </w:pPr>
      <w:r w:rsidRPr="008F4379">
        <w:rPr>
          <w:rFonts w:eastAsia="Times New Roman" w:cs="Times New Roman"/>
          <w:color w:val="000000"/>
          <w:sz w:val="28"/>
          <w:szCs w:val="28"/>
          <w:shd w:val="clear" w:color="auto" w:fill="FFFFFF"/>
        </w:rPr>
        <w:t xml:space="preserve">На территории Талдомского городского округа развиваются такие виды туризма, как культурно-исторический, промышленный, экологический, паломнический, событийный. Так же, в соответствии с современными тенденциями развития гастрономического туризма в регионе, у округа есть возможность развития в этом направлении. На территории Талдомского городского округа Московской области располагаются 3 музея, 1 предприятие народно-художественных промыслов, Государственный Заказник «Журавлиная Родина», 18 храмов, 6 коллективных средств размещения, 11 охотничьих баз и баз отдыха.  </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 xml:space="preserve">По состоянию на 1 января 2025 года на территории Талдомского городского округа зарегистрировано 123 спортивных сооружений с </w:t>
      </w:r>
      <w:r w:rsidRPr="008F4379">
        <w:rPr>
          <w:rFonts w:eastAsia="Times New Roman" w:cs="Times New Roman"/>
          <w:color w:val="000000"/>
          <w:sz w:val="28"/>
          <w:szCs w:val="28"/>
          <w:lang w:eastAsia="ru-RU"/>
        </w:rPr>
        <w:lastRenderedPageBreak/>
        <w:t xml:space="preserve">единовременной пропускной способностью 3227 человека, в том числе 76 плоскостных сооружений и объектов городской и рекреационной инфраструктуры (из них 6 футбольных полей), 32 спортивных залов, 2 плавательных бассейна, 1 лыжная база, 1 стрелковый тир. </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Численность жителей, занимающихся физической культурой и спортом, составляет 37956 человек. А численность обучающихся, систематически занимающихся физической культурой и спортом составляет 64,8% от общего их количества.</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В настоящее время особое внимание уделяется развитию массовой физической культуры и формированию здорового образа жизни населения. Спортивное направление включает в себя проведение турниров, чемпионатов и первенств по волейболу, плаванию, самбо, футболу, мини-футболу, шахматам. Численность занимающихся в секциях по видам спорта – 979 человек.</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В 2024 году состоялась реорганизация спортивных учреждений путем присоединения МБУ СК «Антей» к МБУ ДО СШ «Дружба».</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В 2024 году спортивный актив округа пополнился победами наших спортсменов – в боксе, самбо, лыжных гонках, плавании. Флаг Талдомского округа победно поднимался вверх на различных соревнованиях.</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Тренерский состав Талдомского округа показал высокие результаты подготовки спортсменов.</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Наши лучшие спортсмены: Гайдукова Анастасия – в плавании; Тихомирова Марианна, Бычкова Мария, Харитонова Елизавета, Данилина Дарья – в лыжных гонках; Крынина Рада и Романова Дарья – в гребле; Белоусова Мария, Исаев Илья, Ёжкин Всеволод и Гульков Александр – в самбо. Этот список можно продолжать и продолжать.</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Благодарен всем тренерам и спортсменам за ежедневный упорный труд, силу воли, отдачу и высокие достижения.</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В сфере молодёжной политики приоритетным направлением остается патриотическое воспитание, в том числе развитие общественного движения «Юнармия». На сегодняшний день в рядах «Юнармии» состоит около 250 учащихся школ.</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Отряды юнармейцев созданы на базе 14 школ округа и активно участвуют в патриотических акциях и мероприятиях, как муниципального, так и регионального уровней.</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 xml:space="preserve">В 2024 году по итогам работы местное отделение заняло 3 место в Московской области. </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Славные традиции в воспитании подрастающего поколения продолжает военно-патриотический клуб «Вымпел-Талдом» имени Сармата.</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Сохранение памяти о героях специальной военной операции – еще одна неотъемлемая часть патриотического воспитания нашего подрастающего поколения. На фасадах образовательных учреждений и домов округа устанавливаются мемориальные доски. В школах округа открываются «Парты Героя».</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t xml:space="preserve">В 2024 году было подписано соглашение о взаимном сотрудничестве между молодежными центрами нашего округа, Дубны и Сергиево-Посада, что позволяет проводить более интересные молодежные мероприятия на нашей территории и заявить о себе на территориях соседних муниципалитетов. </w:t>
      </w:r>
    </w:p>
    <w:p w:rsidR="008F4379" w:rsidRPr="008F4379" w:rsidRDefault="008F4379" w:rsidP="008F4379">
      <w:pPr>
        <w:ind w:right="566" w:firstLine="567"/>
        <w:jc w:val="both"/>
        <w:rPr>
          <w:rFonts w:eastAsia="Times New Roman" w:cs="Times New Roman"/>
          <w:color w:val="000000"/>
          <w:sz w:val="28"/>
          <w:szCs w:val="28"/>
          <w:lang w:eastAsia="ru-RU"/>
        </w:rPr>
      </w:pPr>
      <w:r w:rsidRPr="008F4379">
        <w:rPr>
          <w:rFonts w:eastAsia="Times New Roman" w:cs="Times New Roman"/>
          <w:color w:val="000000"/>
          <w:sz w:val="28"/>
          <w:szCs w:val="28"/>
          <w:lang w:eastAsia="ru-RU"/>
        </w:rPr>
        <w:lastRenderedPageBreak/>
        <w:t>В летний период была организована работа по временному трудоустройству подростков. В 2024 в период летних каникул было трудоустроено 409 человек.</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Очевидно, что на каждом нашем мероприятии, событии часто трудятся круглосуточно те, кто обеспечивает безопасность. Это труд полиции, пожарной, спасательной служб, народной дружины, волонтеров.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Талдомском округе уделяется первоочередное внимание вопросам </w:t>
      </w:r>
      <w:r w:rsidRPr="008F4379">
        <w:rPr>
          <w:rFonts w:eastAsia="Calibri" w:cs="Times New Roman"/>
          <w:b/>
          <w:color w:val="000000"/>
          <w:sz w:val="28"/>
          <w:szCs w:val="28"/>
          <w:lang w:eastAsia="ru-RU"/>
        </w:rPr>
        <w:t>безопасности</w:t>
      </w:r>
      <w:r w:rsidRPr="008F4379">
        <w:rPr>
          <w:rFonts w:eastAsia="Calibri" w:cs="Times New Roman"/>
          <w:color w:val="000000"/>
          <w:sz w:val="28"/>
          <w:szCs w:val="28"/>
          <w:lang w:eastAsia="ru-RU"/>
        </w:rPr>
        <w:t xml:space="preserve"> граждан, ведется планомерная работа по обеспечению правопорядка.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целях расширения охвата видеонаблюдением системы «Безопасный регион» в 2024 году дополнительно установлены 136 видеокамер. Всего с периода старта программы у нас введено в действие 995 видеокамер, тем самым контролируется общественная и дорожная безопасность.</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целях подготовки к паводковому периоду 2025 года, в 2024 году проведены следующие превентивные мероприятия: расчистка русел рек проведена на 29 участках, протяженностью 3,2 км; очистка дренажных и коллекторных систем на 149 участках, протяженностью 11 км.</w:t>
      </w:r>
    </w:p>
    <w:p w:rsidR="008F4379" w:rsidRPr="008F4379" w:rsidRDefault="008F4379" w:rsidP="008F4379">
      <w:pPr>
        <w:tabs>
          <w:tab w:val="left" w:pos="9639"/>
        </w:tabs>
        <w:ind w:right="566" w:firstLine="567"/>
        <w:jc w:val="both"/>
        <w:rPr>
          <w:rFonts w:eastAsia="Calibri" w:cs="Times New Roman"/>
          <w:sz w:val="28"/>
          <w:szCs w:val="28"/>
        </w:rPr>
      </w:pPr>
      <w:r w:rsidRPr="008F4379">
        <w:rPr>
          <w:rFonts w:eastAsia="Calibri" w:cs="Times New Roman"/>
          <w:color w:val="000000"/>
          <w:sz w:val="28"/>
          <w:szCs w:val="28"/>
          <w:lang w:eastAsia="ru-RU"/>
        </w:rPr>
        <w:t>Большая и планомерная работа проделана по противопожарной безопасности.</w:t>
      </w:r>
      <w:r w:rsidRPr="008F4379">
        <w:rPr>
          <w:rFonts w:eastAsia="Calibri" w:cs="Times New Roman"/>
          <w:sz w:val="22"/>
        </w:rPr>
        <w:t xml:space="preserve"> </w:t>
      </w:r>
      <w:r w:rsidRPr="008F4379">
        <w:rPr>
          <w:rFonts w:eastAsia="Calibri" w:cs="Times New Roman"/>
          <w:sz w:val="28"/>
          <w:szCs w:val="28"/>
        </w:rPr>
        <w:t xml:space="preserve">На территории Талдомского городского округа земли лесного фонда занимают 79,68 тыс. га, а площадь торфяников - 251,1 кв.км, вследствие чего уделяется особое внимание пожарной безопасности в области возникновения природных пожаров. В ходе весенней проверки противопожарного водоснабжения из 527 пожарных гидрантов выявлено неисправных 2, процент неисправностей составляет 0,57%. В 2024 году осуществлена закупка 6 новых пожарных гидрантов и комплектующих к ним.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границах населенных пунктов имеется 163 водоема, оборудованных подъездом для пожарной спецтехники, в том числе 37 оборудовано пирсами и отбойниками для забора воды пожарной техникой.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С руководителями предприятий и организаций округа, привлекаемых для выполнения противопожарных мероприятий, согласованы нормы выделения водоподающей, землеройной техники, транспорта и личного состава.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Порядка 90 автономных дымовых пожарных извещателей установлены в 30 жилых помещениях многодетных и малообеспеченных семей.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целях повышения охвата населения оповещением об угрозе возникновения ЧС в округе продолжается установка системы коллективного оповещения. Местная система оповещения состоит из: системы коллективного оповещения «Вестник» (61 громкоговорителей, 16 точек в 9 населенных пунктах) и многоканального цифрового комплекса оповещения по телефонным линиям SELENA.</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Охват населения оповещением составляет 85%, из них проводным 28%, электросиренами 20%, рупорными громкоговорителями до 95 %, эфирным и кабельным телевещанием 15%.</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 итогам 2024 года Талдомский округ занял 3 место в смотре-конкурсе на звание: «Лучший орган местного самоуправления муниципального образования Московской области в сфере обеспечения безопасности жизнедеятельности населения», а Вербилковский дом культуры стал лучшим в области приёмным эвакуационным пунктом.</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lastRenderedPageBreak/>
        <w:t xml:space="preserve">На базе Системы-112 с 2014 года успешно работает единая диспетчерская служба. В 2024 году в службу ЕДДС поступило 64554 звонка. Все они отработаны. В Талдомском округе работает мобильное приложение «112» для вызова экстренных служб.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Внедрена кнопка «ДЕТИ», с помощью которой можно передать информацию в «Национальный мониторинговый центр помощи пропавшим и пострадавшим детям».</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 В 2024 году мобилизационная подготовка Талдомского городского округа Московской области была организована и осуществлялась в соответствии с требованиями федерального, областного и местного законодательства, решений Суженных заседаний при Губернаторе Московской области и решений Суженных заседаний при Главе городского округа.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проводилась агитационная работа службы по контракту граждан, пребывающих в запасе и направление кандидатов в военный комиссариат Дмитровского городского округа, городского округа Дубна и Талдомского городского округа Московской области. Всего в 2024 году по контракту (добровольцы) призвано в ряды Вооруженных Сил Российской Федерации – 69 человек.</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 xml:space="preserve">Важным, базовым звеном в системе цифровизации территории является Талдомский </w:t>
      </w:r>
      <w:r w:rsidRPr="008F4379">
        <w:rPr>
          <w:rFonts w:eastAsia="Calibri" w:cs="Times New Roman"/>
          <w:b/>
          <w:color w:val="000000"/>
          <w:sz w:val="28"/>
          <w:szCs w:val="28"/>
        </w:rPr>
        <w:t>МФЦ</w:t>
      </w:r>
      <w:r w:rsidRPr="008F4379">
        <w:rPr>
          <w:rFonts w:eastAsia="Calibri" w:cs="Times New Roman"/>
          <w:color w:val="000000"/>
          <w:sz w:val="28"/>
          <w:szCs w:val="28"/>
        </w:rPr>
        <w:t xml:space="preserve">. Число обращений составило 48212. Огромный документооборот внутри МФЦ, расширение перечня услуг значительно упростили жизнь тысячам граждан.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 xml:space="preserve">Именно МФЦ утвердился в статусе важнейшего элемента межведомственного взаимодействия, выдерживая сроки, уровень и качество по всему спектру полномочий и задач.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 xml:space="preserve">Очень актуальными в 2024 году стали услуги по регистрации права, получение Госключа, справки об участии в СВО, выдача социальных карт, замена водительских удостоверений, получение карт «Стрелка».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 xml:space="preserve">В приносящей доход деятельности в 2024 году одной из самых востребованных остается услуга по составлению договоров купли-продажи. Платными услугами и услугами паспортного стола в бюджет округа МФЦ в 2024 году заработал более 2 млн. рублей.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 xml:space="preserve">Все больше услуг переходит в электронный вид, в связи с чем электронный МФЦ, где организованы 4 рабочих места с бесплатным доступом к РПГУ и ЕПГУ, пользуется большим спросом среди посетителей МФЦ. Консультанты оказывает помощь при заполнении заявлений в электронном виде, за ушедший год было оказано 11 000 консультаций.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Традиционными уже стали торжественные вручения паспортов юным жителям округа.</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Ежедневно в МФЦ работает горячая линия Губернатора где, помимо основных вопросов, также ведется консультирование и принимаются обращения от мобилизованных и членов их семей.</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t xml:space="preserve">В каждом окне оператора в главном офисе МФЦ установлены терминалы Сбербанка для оплаты государственной пошлины, поэтому заявителям можно получать услуги в полном объеме, но при этом минимизировать время пребывания в центре. </w:t>
      </w:r>
    </w:p>
    <w:p w:rsidR="008F4379" w:rsidRPr="008F4379" w:rsidRDefault="008F4379" w:rsidP="008F4379">
      <w:pPr>
        <w:tabs>
          <w:tab w:val="left" w:pos="9639"/>
        </w:tabs>
        <w:ind w:right="566" w:firstLine="567"/>
        <w:jc w:val="both"/>
        <w:rPr>
          <w:rFonts w:eastAsia="Calibri" w:cs="Times New Roman"/>
          <w:color w:val="000000"/>
          <w:sz w:val="28"/>
          <w:szCs w:val="28"/>
        </w:rPr>
      </w:pPr>
      <w:r w:rsidRPr="008F4379">
        <w:rPr>
          <w:rFonts w:eastAsia="Calibri" w:cs="Times New Roman"/>
          <w:color w:val="000000"/>
          <w:sz w:val="28"/>
          <w:szCs w:val="28"/>
        </w:rPr>
        <w:lastRenderedPageBreak/>
        <w:t>Также в МФЦ появилась возможность открытия расчетного счета для бизнеса, что, безусловно, очень удобно и позволяет за одно посещение МФЦ воспользоваться сервисами партнёров и зарегистрировать бизнес или открыть расчетный счет.</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Основным направлением работы контрольно-ревизионного сектора администрации Талдомского городского округа является осуществление контроля за соблюдением законодательства РФ в сфере закупок товаров, работ, услуг и внутренний муниципальный финансовый контроль.</w:t>
      </w:r>
    </w:p>
    <w:p w:rsidR="008F4379" w:rsidRPr="008F4379" w:rsidRDefault="008F4379" w:rsidP="008F4379">
      <w:pPr>
        <w:tabs>
          <w:tab w:val="left" w:pos="9639"/>
        </w:tabs>
        <w:ind w:right="566" w:firstLine="567"/>
        <w:jc w:val="both"/>
        <w:rPr>
          <w:rFonts w:eastAsia="Calibri" w:cs="Times New Roman"/>
          <w:color w:val="FF0000"/>
          <w:sz w:val="28"/>
          <w:szCs w:val="28"/>
          <w:lang w:eastAsia="ru-RU"/>
        </w:rPr>
      </w:pPr>
      <w:r w:rsidRPr="008F4379">
        <w:rPr>
          <w:rFonts w:eastAsia="Calibri" w:cs="Times New Roman"/>
          <w:color w:val="000000"/>
          <w:sz w:val="28"/>
          <w:szCs w:val="28"/>
          <w:lang w:eastAsia="ru-RU"/>
        </w:rPr>
        <w:t>В соответствии с планами проведения контрольных мероприятий в 2024 году проведено 15 проверок. Кроме того, проведено 7 внеплановых проверок в связи с обращением о согласовании заключения контракта с единственным поставщиком (подрядчиком, исполнителем).</w:t>
      </w:r>
      <w:r w:rsidRPr="008F4379">
        <w:rPr>
          <w:rFonts w:eastAsia="Calibri" w:cs="Times New Roman"/>
          <w:color w:val="FF0000"/>
          <w:sz w:val="28"/>
          <w:szCs w:val="28"/>
          <w:lang w:eastAsia="ru-RU"/>
        </w:rPr>
        <w:t xml:space="preserve">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Всего в 2024 году контрольные мероприятия проведены в 6 учреждениях, в том числе: МБУ «ДСРП», МОУ Павловическая средняя общеобразовательная школа, МДОУ Детский сад комбинированного вида № 2 «Ромашка», МУ ДО Дом детского творчества г. Талдома, МСОУ Запрудненская школа-интернат, МБУ Талдомский историко-литературный музей.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ходе проведения проверок проверено 389 закупок. При этом выявлено 57 нарушений законодательства в сфере закупок, в том числе 56 нарушений имеют признаки административных нарушений. В бюджетно-финансовой сфере выявлено 16 нарушений.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Сумма проверенных средств при проведении контрольных мероприятий по внутреннему муниципальному финансовому контролю в сфере закупок составила 71,8 млн. рублей, в бюджетно-финансовой сфере – 508,3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Сотрудники контрольно-ревизионного сектора являются контролерами муниципального Центра управления регионом. На постоянной (ежедневной) основе организовано информационное взаимодействие и реализация отдельных полномочий регионального и муниципального Центров управления регионом в части осуществления функции контроля исполнения контрактов.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Согласно анализу, проведённому Главным контрольным управлением Московской области, в части исполнения контрактов, а также контрольной деятельности органов местного самоуправления, у Талдомского городского округа имеется положительная динамика, низкая доля случаев нарушения сроков поставки исполнителями по контрактам в ПИК ЕАСУЗ, сроков приемки (направления мотивированного отказа) заказчиками в ПИК ЕАСУЗ, обязательств, оплаченных заказчиками в ПИК ЕАСУЗ не в срок. В 2024 году увеличилась доля случаев предъявления требований об уплате неустойки (штрафа, пени) в случаях нарушения исполнителями обязательств по контрактам.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рейтинге контрольных органов Талдомский городской округ среди округов Московской области по итогам 2024 года занимает 3 место.</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муниципальным казенным учреждением «Центр управления закупками» было опубликовано и проведено 772 конкурентные процедуры на общую сумму 2,6 млрд. рублей. Экономия от проведенных процедур составила 225 млн.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lastRenderedPageBreak/>
        <w:t xml:space="preserve">В администрацию Талдомского городского округа за 2024 год поступило 5812 обращений. Все документы обрабатываются качественно, вовремя и в соответствии с установленными регламентами.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Для удобства жителей Талдомского округа проводится работа выездной администрации, так, в 2024 году в 14 населённых пунктах, а также на предприятиях округа состоялось 20 приемов, в которых приняли участие более 350 человек.</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На еженедельной основе заместителями главы проводятся пешие обходы по закрепленной территории. Источниками получения информации для планирования пешего обхода является тепловая карта с проблемными адресами, а также еженедельная информация из Министерства Чистоты Московской области. Всего за 2024 год проведено 198 пеших обходов, охват составил 2970 человек.</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Администрацией осуществляется организационно-техническое обеспечение деятельности Совета депутатов Талдомского городского округа.    В 2024 году было обеспечено проведение 15 заседаний Совета депутатов и принято 125 решений.</w:t>
      </w:r>
      <w:r w:rsidRPr="008F4379">
        <w:rPr>
          <w:rFonts w:eastAsia="Calibri" w:cs="Times New Roman"/>
          <w:color w:val="FF0000"/>
          <w:sz w:val="28"/>
          <w:szCs w:val="28"/>
          <w:lang w:eastAsia="ru-RU"/>
        </w:rPr>
        <w:t xml:space="preserve"> </w:t>
      </w:r>
      <w:r w:rsidRPr="008F4379">
        <w:rPr>
          <w:rFonts w:eastAsia="Calibri" w:cs="Times New Roman"/>
          <w:color w:val="000000"/>
          <w:sz w:val="28"/>
          <w:szCs w:val="28"/>
          <w:lang w:eastAsia="ru-RU"/>
        </w:rPr>
        <w:t>В 2024 году состоялись публичные слушания по исполнению бюджета Талдомского городского округа за 2023 год и по проекту бюджета Талдомского городского округа на 2025 год и на плановый период 2026 и 2027 годов.</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По состоянию на 01 января 2025 года количество муниципальных должностей, муниципальных служащих, технических служащих в администрации и её структурных подразделений – 155 человек.</w:t>
      </w:r>
      <w:r w:rsidRPr="008F4379">
        <w:rPr>
          <w:rFonts w:eastAsia="Calibri" w:cs="Times New Roman"/>
          <w:color w:val="000000"/>
          <w:sz w:val="22"/>
        </w:rPr>
        <w:t xml:space="preserve"> </w:t>
      </w:r>
      <w:r w:rsidRPr="008F4379">
        <w:rPr>
          <w:rFonts w:eastAsia="Calibri" w:cs="Times New Roman"/>
          <w:color w:val="000000"/>
          <w:sz w:val="28"/>
          <w:szCs w:val="28"/>
          <w:lang w:eastAsia="ru-RU"/>
        </w:rPr>
        <w:t>Количество дел пенсионеров, получающих пенсию за выслугу лет – 116 человек.</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течение года велась работа с Реестром муниципальных служащих администрации и структурных подразделений. Проведено 3 заседания аттестационной комиссии, по итогам квалификационных экзаменов присвоено классных чинов 21 муниципальному служащему, в т.ч. 5 - впервые назначенным. Организовано обучение по программам повышения квалификации для 35 работников, в т.ч. по вопросам противодействия коррупции. В рамках декларационной компании принято и проанализировано 131 справка о доходах, расходах, имуществе и обязательствах имущественного характера муниципальных служащих, руководителей учреждений и членов их семей, а также 59 справок от работников Комитетов и Управлений.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Работа МКУ «Управление муниципальной статистики Талдомского городского округа» в 2024 году была направлена на реализацию целей и задач по выполнению Производственного плана Мосстата по обеспечению полноты и качества статистической отчетности в части обеспечения органов местного самоуправления округа необходимыми экономико-статистическими сведениями для решения задач управления и прогнозирования социально-экономического положения.</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2024 году по запросам учреждений и предприятий округа подготовлено свыше 50 экспресс-информаций по различным аспектам состояния социально-экономического положения округа, отдельных отраслей экономики, образования, здравоохранения и культуры.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Большое влияние на социально-экономическое развитие округа оказывает совместная деятельность администрации и общественных организаций.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lastRenderedPageBreak/>
        <w:t>Посредством создания и участия в общественных организациях жители Талдомского округа имеют возможность в цивилизованных формах общаться с муниципальной властью, донося свои требования, и осуществлять совместную деятельность для защиты общих интересов и достижения общих целей. Общественные организации тесно взаимодействуют с администрацией Талдомского городского округа: проводились семинары, круглые столы и встречи. В 2024 году был сформирован новый состав Общественной палаты Талдомского городского округа.</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 2024 году состоялись выборы Президента Российской Федерации. На территории Талдомского городского округа в течение трёх дней работали 32 избирательных участка. Нагрузка на членов участковых и территориальной избирательных комиссий была огромная, но, несмотря на все сложности, администрация справилась с организацией голосования на территории нашего округа на достойном уровне. Явка на выборах составила 24723 человека или                77,65 % избирателей.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Информационная прозрачность деятельности органов местного самоуправления Талдомского округа достигается при помощи информационно-коммуникационной сети «Интернет», телеканалом «Like-TV» с аудиторией вещания – не менее 40 000 человек в округе. Конструктивный диалог между населением и властными структурами проводится с помощью прямых эфиров в рамках программы «Открытая студия».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Основными и главными публикаторами материалов о социально-экономическом положении Талдомского округа, его культурной, спортивной, общественной жизни являются: газета «Талдомская Заря», интернет-телеканал «Like-TV» и официальный сайт администрации Талдомского городского округа – taldom-okrug.ru.</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На страницах газеты «Талдомская Заря» осуществляется официальное опубликование нормативно-правовых актов, официальной информации, имеющей высокую общественную значимость. На подписку на региональные и муниципальные СМИ для пожилых малообеспеченных жителей Талдомского округа израсходовано из средств бюджета округа 250 тыс. рублей.</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Большую информативность и актуальность имеет официальный сайт администрации, число посещений составляет до 13 000 в месяц, частота обновления новостей от 2 до 4 часов в день.</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Ведётся информационно-разъяснительная работа о деятельности органов местного самоуправления по решению актуальных проблем округа в социальных сетях, на официальных страничках администрации Талдомского городского округа, а также главы муниципального образования (ВКонтакте, Одноклассники, Телеграмм-канал). Они имеют большую аудиторию, в сумме около 35 тыс. подписчиков, 700 тыс. просмотров, 50 тыс. лайков и комментариев ежемесячно.</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Перечень мероприятий огромен, но в то же время есть то, что каждый год диктует жизнь, бросая новые вызовы, на которые мы должны отвечать – системно, оперативно, с максимальным результатом, работая на упреждение.</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основе каждого нашего решения, действия - интересы территории, интересы жителей Талдомского округа.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lastRenderedPageBreak/>
        <w:t xml:space="preserve">Наши планы мы должны и будем выполнять в масштабе и объёме, который диктует жизнь и базовый принцип жизненной перспективы, в русле задач, которые ставит президент Владимир Владимирович Путин, губернатор Московской области Андрей Юрьевич Воробьёв.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Благодарю депутатов Совета депутатов Талдомского городского округа за совместную работу.  Опираясь на главный принцип - баланс устойчивости и развития, мы должны работать так, чтобы уже сделанное многие годы служило людям, вызывало гордость - трудом, энергией ума, таланта, мастерства, общим результатом.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 xml:space="preserve">В эти трудные для страны дни, мы, поддерживая Президента России Владимира Владимировича Путина, в единстве, сплочённости рядов должны нашим общим трудом, единством целей, взглядов, методов, миропонимания, ещё большей самоотдачей обеспечивать дальнейшее развитие, дальнейшее движение вперёд! </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r w:rsidRPr="008F4379">
        <w:rPr>
          <w:rFonts w:eastAsia="Calibri" w:cs="Times New Roman"/>
          <w:color w:val="000000"/>
          <w:sz w:val="28"/>
          <w:szCs w:val="28"/>
          <w:lang w:eastAsia="ru-RU"/>
        </w:rPr>
        <w:t>Верю, что 2025 станет годом созидания и новых побед.</w:t>
      </w:r>
    </w:p>
    <w:p w:rsidR="008F4379" w:rsidRPr="008F4379" w:rsidRDefault="008F4379" w:rsidP="008F4379">
      <w:pPr>
        <w:tabs>
          <w:tab w:val="left" w:pos="9639"/>
        </w:tabs>
        <w:ind w:right="566" w:firstLine="567"/>
        <w:jc w:val="both"/>
        <w:rPr>
          <w:rFonts w:eastAsia="Calibri" w:cs="Times New Roman"/>
          <w:color w:val="000000"/>
          <w:sz w:val="28"/>
          <w:szCs w:val="28"/>
          <w:lang w:eastAsia="ru-RU"/>
        </w:rPr>
      </w:pPr>
    </w:p>
    <w:p w:rsidR="008F4379" w:rsidRDefault="008F4379" w:rsidP="007A78B5">
      <w:pPr>
        <w:jc w:val="both"/>
      </w:pPr>
      <w:bookmarkStart w:id="0" w:name="_GoBack"/>
      <w:bookmarkEnd w:id="0"/>
    </w:p>
    <w:sectPr w:rsidR="008F4379" w:rsidSect="00B24FA3">
      <w:pgSz w:w="11906" w:h="16838"/>
      <w:pgMar w:top="1134" w:right="566"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91768"/>
    <w:multiLevelType w:val="hybridMultilevel"/>
    <w:tmpl w:val="555E4BBE"/>
    <w:lvl w:ilvl="0" w:tplc="32788340">
      <w:start w:val="1"/>
      <w:numFmt w:val="bullet"/>
      <w:lvlText w:val=""/>
      <w:lvlJc w:val="left"/>
      <w:pPr>
        <w:tabs>
          <w:tab w:val="num" w:pos="720"/>
        </w:tabs>
        <w:ind w:left="720" w:hanging="360"/>
      </w:pPr>
      <w:rPr>
        <w:rFonts w:ascii="Wingdings 2" w:hAnsi="Wingdings 2" w:hint="default"/>
      </w:rPr>
    </w:lvl>
    <w:lvl w:ilvl="1" w:tplc="CB38BFD0" w:tentative="1">
      <w:start w:val="1"/>
      <w:numFmt w:val="bullet"/>
      <w:lvlText w:val=""/>
      <w:lvlJc w:val="left"/>
      <w:pPr>
        <w:tabs>
          <w:tab w:val="num" w:pos="1440"/>
        </w:tabs>
        <w:ind w:left="1440" w:hanging="360"/>
      </w:pPr>
      <w:rPr>
        <w:rFonts w:ascii="Wingdings 2" w:hAnsi="Wingdings 2" w:hint="default"/>
      </w:rPr>
    </w:lvl>
    <w:lvl w:ilvl="2" w:tplc="38186428" w:tentative="1">
      <w:start w:val="1"/>
      <w:numFmt w:val="bullet"/>
      <w:lvlText w:val=""/>
      <w:lvlJc w:val="left"/>
      <w:pPr>
        <w:tabs>
          <w:tab w:val="num" w:pos="2160"/>
        </w:tabs>
        <w:ind w:left="2160" w:hanging="360"/>
      </w:pPr>
      <w:rPr>
        <w:rFonts w:ascii="Wingdings 2" w:hAnsi="Wingdings 2" w:hint="default"/>
      </w:rPr>
    </w:lvl>
    <w:lvl w:ilvl="3" w:tplc="C4408640" w:tentative="1">
      <w:start w:val="1"/>
      <w:numFmt w:val="bullet"/>
      <w:lvlText w:val=""/>
      <w:lvlJc w:val="left"/>
      <w:pPr>
        <w:tabs>
          <w:tab w:val="num" w:pos="2880"/>
        </w:tabs>
        <w:ind w:left="2880" w:hanging="360"/>
      </w:pPr>
      <w:rPr>
        <w:rFonts w:ascii="Wingdings 2" w:hAnsi="Wingdings 2" w:hint="default"/>
      </w:rPr>
    </w:lvl>
    <w:lvl w:ilvl="4" w:tplc="E8E4083C" w:tentative="1">
      <w:start w:val="1"/>
      <w:numFmt w:val="bullet"/>
      <w:lvlText w:val=""/>
      <w:lvlJc w:val="left"/>
      <w:pPr>
        <w:tabs>
          <w:tab w:val="num" w:pos="3600"/>
        </w:tabs>
        <w:ind w:left="3600" w:hanging="360"/>
      </w:pPr>
      <w:rPr>
        <w:rFonts w:ascii="Wingdings 2" w:hAnsi="Wingdings 2" w:hint="default"/>
      </w:rPr>
    </w:lvl>
    <w:lvl w:ilvl="5" w:tplc="61FA5300" w:tentative="1">
      <w:start w:val="1"/>
      <w:numFmt w:val="bullet"/>
      <w:lvlText w:val=""/>
      <w:lvlJc w:val="left"/>
      <w:pPr>
        <w:tabs>
          <w:tab w:val="num" w:pos="4320"/>
        </w:tabs>
        <w:ind w:left="4320" w:hanging="360"/>
      </w:pPr>
      <w:rPr>
        <w:rFonts w:ascii="Wingdings 2" w:hAnsi="Wingdings 2" w:hint="default"/>
      </w:rPr>
    </w:lvl>
    <w:lvl w:ilvl="6" w:tplc="C270F152" w:tentative="1">
      <w:start w:val="1"/>
      <w:numFmt w:val="bullet"/>
      <w:lvlText w:val=""/>
      <w:lvlJc w:val="left"/>
      <w:pPr>
        <w:tabs>
          <w:tab w:val="num" w:pos="5040"/>
        </w:tabs>
        <w:ind w:left="5040" w:hanging="360"/>
      </w:pPr>
      <w:rPr>
        <w:rFonts w:ascii="Wingdings 2" w:hAnsi="Wingdings 2" w:hint="default"/>
      </w:rPr>
    </w:lvl>
    <w:lvl w:ilvl="7" w:tplc="5AD88620" w:tentative="1">
      <w:start w:val="1"/>
      <w:numFmt w:val="bullet"/>
      <w:lvlText w:val=""/>
      <w:lvlJc w:val="left"/>
      <w:pPr>
        <w:tabs>
          <w:tab w:val="num" w:pos="5760"/>
        </w:tabs>
        <w:ind w:left="5760" w:hanging="360"/>
      </w:pPr>
      <w:rPr>
        <w:rFonts w:ascii="Wingdings 2" w:hAnsi="Wingdings 2" w:hint="default"/>
      </w:rPr>
    </w:lvl>
    <w:lvl w:ilvl="8" w:tplc="F8C40D0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DF23E7"/>
    <w:multiLevelType w:val="multilevel"/>
    <w:tmpl w:val="56602F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9976C7D"/>
    <w:multiLevelType w:val="singleLevel"/>
    <w:tmpl w:val="87EAC1D0"/>
    <w:lvl w:ilvl="0">
      <w:start w:val="1"/>
      <w:numFmt w:val="bullet"/>
      <w:lvlText w:val="-"/>
      <w:lvlJc w:val="left"/>
      <w:pPr>
        <w:tabs>
          <w:tab w:val="num" w:pos="360"/>
        </w:tabs>
        <w:ind w:left="360" w:hanging="360"/>
      </w:pPr>
      <w:rPr>
        <w:rFonts w:hint="default"/>
      </w:rPr>
    </w:lvl>
  </w:abstractNum>
  <w:abstractNum w:abstractNumId="3" w15:restartNumberingAfterBreak="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CDE5B7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2"/>
  </w:num>
  <w:num w:numId="4">
    <w:abstractNumId w:val="4"/>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330B8"/>
    <w:rsid w:val="0003765D"/>
    <w:rsid w:val="000424AC"/>
    <w:rsid w:val="000911BD"/>
    <w:rsid w:val="00093858"/>
    <w:rsid w:val="000A52FE"/>
    <w:rsid w:val="000A7175"/>
    <w:rsid w:val="000B2FEF"/>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4831"/>
    <w:rsid w:val="00364FC0"/>
    <w:rsid w:val="00367779"/>
    <w:rsid w:val="0037336C"/>
    <w:rsid w:val="00375CF9"/>
    <w:rsid w:val="00390F04"/>
    <w:rsid w:val="0039247E"/>
    <w:rsid w:val="003C5747"/>
    <w:rsid w:val="003F5212"/>
    <w:rsid w:val="00413A31"/>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A78B5"/>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31D4C"/>
    <w:rsid w:val="00835311"/>
    <w:rsid w:val="00836236"/>
    <w:rsid w:val="00836FEF"/>
    <w:rsid w:val="008468DE"/>
    <w:rsid w:val="008469E1"/>
    <w:rsid w:val="00851217"/>
    <w:rsid w:val="00867151"/>
    <w:rsid w:val="00870A4E"/>
    <w:rsid w:val="00870D2E"/>
    <w:rsid w:val="0088778A"/>
    <w:rsid w:val="008A561A"/>
    <w:rsid w:val="008C2035"/>
    <w:rsid w:val="008D2690"/>
    <w:rsid w:val="008D3556"/>
    <w:rsid w:val="008E53B4"/>
    <w:rsid w:val="008E6844"/>
    <w:rsid w:val="008E71BF"/>
    <w:rsid w:val="008F4379"/>
    <w:rsid w:val="00911D77"/>
    <w:rsid w:val="009133A9"/>
    <w:rsid w:val="00932C4A"/>
    <w:rsid w:val="00951C52"/>
    <w:rsid w:val="0095679F"/>
    <w:rsid w:val="00971700"/>
    <w:rsid w:val="00972A1A"/>
    <w:rsid w:val="00973C88"/>
    <w:rsid w:val="009858C6"/>
    <w:rsid w:val="009A360E"/>
    <w:rsid w:val="009A5703"/>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CD3"/>
    <w:rsid w:val="00CE3ED4"/>
    <w:rsid w:val="00D05F09"/>
    <w:rsid w:val="00D12926"/>
    <w:rsid w:val="00D1722C"/>
    <w:rsid w:val="00D23A82"/>
    <w:rsid w:val="00D33B58"/>
    <w:rsid w:val="00D34425"/>
    <w:rsid w:val="00D37D7E"/>
    <w:rsid w:val="00D41A76"/>
    <w:rsid w:val="00D4249A"/>
    <w:rsid w:val="00D50998"/>
    <w:rsid w:val="00D553C3"/>
    <w:rsid w:val="00D72A09"/>
    <w:rsid w:val="00D73DBB"/>
    <w:rsid w:val="00D7553A"/>
    <w:rsid w:val="00D83166"/>
    <w:rsid w:val="00D85367"/>
    <w:rsid w:val="00D9269C"/>
    <w:rsid w:val="00D97550"/>
    <w:rsid w:val="00DA2918"/>
    <w:rsid w:val="00DB642E"/>
    <w:rsid w:val="00DC3601"/>
    <w:rsid w:val="00DC5846"/>
    <w:rsid w:val="00DD14D5"/>
    <w:rsid w:val="00DD1AB1"/>
    <w:rsid w:val="00DD30AB"/>
    <w:rsid w:val="00DE1E2D"/>
    <w:rsid w:val="00DE4446"/>
    <w:rsid w:val="00DE6AB4"/>
    <w:rsid w:val="00DF073E"/>
    <w:rsid w:val="00DF1646"/>
    <w:rsid w:val="00E06C9F"/>
    <w:rsid w:val="00E1507B"/>
    <w:rsid w:val="00E22BD2"/>
    <w:rsid w:val="00E23603"/>
    <w:rsid w:val="00E27B9C"/>
    <w:rsid w:val="00E5398A"/>
    <w:rsid w:val="00E65816"/>
    <w:rsid w:val="00E75F0E"/>
    <w:rsid w:val="00E846E0"/>
    <w:rsid w:val="00E904EA"/>
    <w:rsid w:val="00E91A22"/>
    <w:rsid w:val="00E96E36"/>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0E001-A116-4DE8-93B5-523322F5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847A4"/>
    <w:rPr>
      <w:rFonts w:ascii="Tahoma" w:hAnsi="Tahoma" w:cs="Tahoma"/>
      <w:sz w:val="16"/>
      <w:szCs w:val="16"/>
    </w:rPr>
  </w:style>
  <w:style w:type="character" w:customStyle="1" w:styleId="a4">
    <w:name w:val="Текст выноски Знак"/>
    <w:basedOn w:val="a0"/>
    <w:link w:val="a3"/>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link w:val="a7"/>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8">
    <w:name w:val="Основной текст Знак"/>
    <w:link w:val="a9"/>
    <w:rsid w:val="00E1507B"/>
    <w:rPr>
      <w:sz w:val="27"/>
      <w:szCs w:val="27"/>
      <w:shd w:val="clear" w:color="auto" w:fill="FFFFFF"/>
    </w:rPr>
  </w:style>
  <w:style w:type="paragraph" w:styleId="a9">
    <w:name w:val="Body Text"/>
    <w:basedOn w:val="a"/>
    <w:link w:val="a8"/>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a">
    <w:name w:val="List Paragraph"/>
    <w:basedOn w:val="a"/>
    <w:uiPriority w:val="34"/>
    <w:qFormat/>
    <w:rsid w:val="00DD1AB1"/>
    <w:pPr>
      <w:ind w:left="720"/>
      <w:contextualSpacing/>
    </w:pPr>
    <w:rPr>
      <w:rFonts w:eastAsia="Times New Roman" w:cs="Times New Roman"/>
      <w:szCs w:val="24"/>
      <w:lang w:eastAsia="ru-RU"/>
    </w:rPr>
  </w:style>
  <w:style w:type="numbering" w:customStyle="1" w:styleId="10">
    <w:name w:val="Нет списка1"/>
    <w:next w:val="a2"/>
    <w:semiHidden/>
    <w:rsid w:val="008F4379"/>
  </w:style>
  <w:style w:type="paragraph" w:customStyle="1" w:styleId="NoSpacing">
    <w:name w:val="No Spacing"/>
    <w:rsid w:val="008F4379"/>
    <w:rPr>
      <w:rFonts w:ascii="Calibri" w:eastAsia="Times New Roman" w:hAnsi="Calibri" w:cs="Times New Roman"/>
      <w:sz w:val="22"/>
    </w:rPr>
  </w:style>
  <w:style w:type="paragraph" w:customStyle="1" w:styleId="11">
    <w:name w:val="Знак1"/>
    <w:basedOn w:val="a"/>
    <w:rsid w:val="008F4379"/>
    <w:pPr>
      <w:spacing w:before="100" w:beforeAutospacing="1" w:after="100" w:afterAutospacing="1"/>
    </w:pPr>
    <w:rPr>
      <w:rFonts w:ascii="Tahoma" w:eastAsia="Calibri" w:hAnsi="Tahoma" w:cs="Times New Roman"/>
      <w:sz w:val="20"/>
      <w:szCs w:val="20"/>
      <w:lang w:val="en-US"/>
    </w:rPr>
  </w:style>
  <w:style w:type="character" w:customStyle="1" w:styleId="apple-converted-space">
    <w:name w:val="apple-converted-space"/>
    <w:rsid w:val="008F4379"/>
    <w:rPr>
      <w:rFonts w:cs="Times New Roman"/>
    </w:rPr>
  </w:style>
  <w:style w:type="paragraph" w:styleId="ab">
    <w:name w:val="Normal (Web)"/>
    <w:basedOn w:val="a"/>
    <w:uiPriority w:val="99"/>
    <w:rsid w:val="008F4379"/>
    <w:pPr>
      <w:spacing w:before="100" w:beforeAutospacing="1" w:after="100" w:afterAutospacing="1"/>
    </w:pPr>
    <w:rPr>
      <w:rFonts w:eastAsia="Calibri" w:cs="Times New Roman"/>
      <w:szCs w:val="24"/>
      <w:lang w:eastAsia="ru-RU"/>
    </w:rPr>
  </w:style>
  <w:style w:type="character" w:customStyle="1" w:styleId="red">
    <w:name w:val="red"/>
    <w:rsid w:val="008F4379"/>
    <w:rPr>
      <w:rFonts w:cs="Times New Roman"/>
    </w:rPr>
  </w:style>
  <w:style w:type="paragraph" w:styleId="23">
    <w:name w:val="Body Text 2"/>
    <w:basedOn w:val="a"/>
    <w:link w:val="24"/>
    <w:rsid w:val="008F4379"/>
    <w:rPr>
      <w:rFonts w:eastAsia="Calibri" w:cs="Times New Roman"/>
      <w:b/>
      <w:bCs/>
      <w:sz w:val="28"/>
      <w:szCs w:val="28"/>
      <w:lang w:eastAsia="ru-RU"/>
    </w:rPr>
  </w:style>
  <w:style w:type="character" w:customStyle="1" w:styleId="24">
    <w:name w:val="Основной текст 2 Знак"/>
    <w:basedOn w:val="a0"/>
    <w:link w:val="23"/>
    <w:rsid w:val="008F4379"/>
    <w:rPr>
      <w:rFonts w:eastAsia="Calibri" w:cs="Times New Roman"/>
      <w:b/>
      <w:bCs/>
      <w:sz w:val="28"/>
      <w:szCs w:val="28"/>
      <w:lang w:eastAsia="ru-RU"/>
    </w:rPr>
  </w:style>
  <w:style w:type="character" w:customStyle="1" w:styleId="ac">
    <w:name w:val="Основной текст_"/>
    <w:link w:val="12"/>
    <w:rsid w:val="008F4379"/>
    <w:rPr>
      <w:sz w:val="22"/>
      <w:shd w:val="clear" w:color="auto" w:fill="FFFFFF"/>
      <w:lang w:eastAsia="ru-RU"/>
    </w:rPr>
  </w:style>
  <w:style w:type="paragraph" w:styleId="ad">
    <w:name w:val="header"/>
    <w:basedOn w:val="a"/>
    <w:link w:val="ae"/>
    <w:rsid w:val="008F4379"/>
    <w:pPr>
      <w:tabs>
        <w:tab w:val="center" w:pos="4677"/>
        <w:tab w:val="right" w:pos="9355"/>
      </w:tabs>
    </w:pPr>
    <w:rPr>
      <w:rFonts w:eastAsia="Calibri" w:cs="Times New Roman"/>
      <w:szCs w:val="24"/>
      <w:lang w:eastAsia="ru-RU"/>
    </w:rPr>
  </w:style>
  <w:style w:type="character" w:customStyle="1" w:styleId="ae">
    <w:name w:val="Верхний колонтитул Знак"/>
    <w:basedOn w:val="a0"/>
    <w:link w:val="ad"/>
    <w:rsid w:val="008F4379"/>
    <w:rPr>
      <w:rFonts w:eastAsia="Calibri" w:cs="Times New Roman"/>
      <w:szCs w:val="24"/>
      <w:lang w:eastAsia="ru-RU"/>
    </w:rPr>
  </w:style>
  <w:style w:type="paragraph" w:styleId="af">
    <w:name w:val="footer"/>
    <w:basedOn w:val="a"/>
    <w:link w:val="af0"/>
    <w:rsid w:val="008F4379"/>
    <w:pPr>
      <w:tabs>
        <w:tab w:val="center" w:pos="4677"/>
        <w:tab w:val="right" w:pos="9355"/>
      </w:tabs>
    </w:pPr>
    <w:rPr>
      <w:rFonts w:eastAsia="Calibri" w:cs="Times New Roman"/>
      <w:szCs w:val="24"/>
      <w:lang w:eastAsia="ru-RU"/>
    </w:rPr>
  </w:style>
  <w:style w:type="character" w:customStyle="1" w:styleId="af0">
    <w:name w:val="Нижний колонтитул Знак"/>
    <w:basedOn w:val="a0"/>
    <w:link w:val="af"/>
    <w:rsid w:val="008F4379"/>
    <w:rPr>
      <w:rFonts w:eastAsia="Calibri" w:cs="Times New Roman"/>
      <w:szCs w:val="24"/>
      <w:lang w:eastAsia="ru-RU"/>
    </w:rPr>
  </w:style>
  <w:style w:type="paragraph" w:customStyle="1" w:styleId="13">
    <w:name w:val="Без интервала1"/>
    <w:rsid w:val="008F4379"/>
    <w:rPr>
      <w:rFonts w:ascii="Calibri" w:eastAsia="Calibri" w:hAnsi="Calibri" w:cs="Times New Roman"/>
      <w:sz w:val="22"/>
    </w:rPr>
  </w:style>
  <w:style w:type="character" w:styleId="af1">
    <w:name w:val="Strong"/>
    <w:qFormat/>
    <w:rsid w:val="008F4379"/>
    <w:rPr>
      <w:b/>
    </w:rPr>
  </w:style>
  <w:style w:type="paragraph" w:customStyle="1" w:styleId="ConsPlusCell">
    <w:name w:val="ConsPlusCell"/>
    <w:rsid w:val="008F4379"/>
    <w:pPr>
      <w:widowControl w:val="0"/>
      <w:autoSpaceDE w:val="0"/>
      <w:autoSpaceDN w:val="0"/>
      <w:adjustRightInd w:val="0"/>
    </w:pPr>
    <w:rPr>
      <w:rFonts w:ascii="Calibri" w:eastAsia="Calibri" w:hAnsi="Calibri" w:cs="Calibri"/>
      <w:sz w:val="22"/>
      <w:lang w:eastAsia="ru-RU"/>
    </w:rPr>
  </w:style>
  <w:style w:type="character" w:customStyle="1" w:styleId="task-group">
    <w:name w:val="task-group"/>
    <w:rsid w:val="008F4379"/>
  </w:style>
  <w:style w:type="paragraph" w:customStyle="1" w:styleId="ListParagraph">
    <w:name w:val="List Paragraph"/>
    <w:basedOn w:val="a"/>
    <w:rsid w:val="008F4379"/>
    <w:pPr>
      <w:spacing w:after="160" w:line="256" w:lineRule="auto"/>
      <w:ind w:left="720"/>
      <w:contextualSpacing/>
    </w:pPr>
    <w:rPr>
      <w:rFonts w:ascii="Calibri" w:eastAsia="Times New Roman" w:hAnsi="Calibri" w:cs="Times New Roman"/>
      <w:sz w:val="22"/>
    </w:rPr>
  </w:style>
  <w:style w:type="character" w:customStyle="1" w:styleId="a7">
    <w:name w:val="Без интервала Знак"/>
    <w:link w:val="a6"/>
    <w:rsid w:val="008F4379"/>
    <w:rPr>
      <w:rFonts w:asciiTheme="minorHAnsi" w:hAnsiTheme="minorHAnsi"/>
      <w:sz w:val="22"/>
    </w:rPr>
  </w:style>
  <w:style w:type="paragraph" w:customStyle="1" w:styleId="12">
    <w:name w:val="Основной текст1"/>
    <w:basedOn w:val="a"/>
    <w:link w:val="ac"/>
    <w:rsid w:val="008F4379"/>
    <w:pPr>
      <w:widowControl w:val="0"/>
      <w:shd w:val="clear" w:color="auto" w:fill="FFFFFF"/>
      <w:ind w:firstLine="400"/>
      <w:jc w:val="both"/>
    </w:pPr>
    <w:rPr>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73AA7-54CD-4635-BA79-F60BF49E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8584</Words>
  <Characters>48932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2024-06-27T14:17:00Z</cp:lastPrinted>
  <dcterms:created xsi:type="dcterms:W3CDTF">2025-03-24T08:04:00Z</dcterms:created>
  <dcterms:modified xsi:type="dcterms:W3CDTF">2025-04-16T12:18:00Z</dcterms:modified>
</cp:coreProperties>
</file>