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69" w:rsidRPr="005F0972" w:rsidRDefault="001C5569" w:rsidP="001C5569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5F0972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О приобретении детских товаров посредством </w:t>
      </w:r>
      <w:proofErr w:type="gramStart"/>
      <w:r w:rsidRPr="005F0972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трансграничной</w:t>
      </w:r>
      <w:proofErr w:type="gramEnd"/>
      <w:r w:rsidRPr="005F0972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proofErr w:type="spellStart"/>
      <w:r w:rsidRPr="005F0972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интернет-торговли</w:t>
      </w:r>
      <w:proofErr w:type="spellEnd"/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Управление </w:t>
      </w:r>
      <w:proofErr w:type="spell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Роспотребнадзора</w:t>
      </w:r>
      <w:proofErr w:type="spell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по Московской области, в связи с поступающими обращениями от граждан о приобретении товаров для детей посредством трансграничной интернет торговли и соответствие продукции приобретенной таким способом обязательным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требованиям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предъявляемым российским законодательством, разъясняет.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Правила обращения на рынке продукции для детей и подростков на территории государств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–ч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ленов Таможенного союза устанавливают возможность обращения товаров детского ассортимента при их соответствии техническим регламентам Таможенного союза, </w:t>
      </w:r>
      <w:proofErr w:type="spell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ЕврАзЭС</w:t>
      </w:r>
      <w:proofErr w:type="spell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, действие которых на них распространяется.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Так с 1 июля 2012 года вступили в действие Технический регламент Таможенного союза «О безопасности продукции, предназначенной для детей и подростков» (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ТР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ТС 007/2011) и Технический регламент Таможенного союза «О безопасности игрушек» (ТР ТС 008/2011), устанавливающие «обязательные требования безопасности к продукции, предназначенной для детей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продукции».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Продукция, соответствие которой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подтверждено требованиям технических регламентов Таможенного союза должна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быть маркирована единым знаком обращения продукции на рынке государств - членов Таможенного союза.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Приобретая товары для детей,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необходимо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прежде всего обратить внимание на маркировку изделия, которая должна быть достоверной, проверяемой, читаемой доступной для осмотра и идентификации. Она наносится на изделие этикетку, прикрепляемую к изделию или товарный ярлык, упаковку изделия, группы изделий или листок-вкладыш (статья 9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ТР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ТС 007/2011).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Маркировка продукции, предназначенной для детей и подростков, должна содержать следующую информацию: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наименование страны, где изготовлена продукция;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наименование и вид (назначение) изделия;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дата изготовления;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единый знак обращения на рынке;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lastRenderedPageBreak/>
        <w:t>- срок службы продукции (при необходимости);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гарантийный срок службы (при необходимости);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товарный знак (при наличии).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Маркировка одежды</w:t>
      </w: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, изделий из текстильных материалов, кожи, меха, трикотажных изделий и готовых штучных текстильных изделий в дополнение обязательным требованиям должна иметь информацию с указанием: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вида и массовой доли (процентного содержания) натурального и химического сырья в материале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 (крашеный или некрашеный);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размера изделия в соответствии с типовой размерной шкалой или требованиями нормативного документа на конкретный вид продукции;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символов по уходу за изделием и (или) инструкции по особенностям ухода за изделием в процессе эксплуатации (при необходимости).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Маркировка сосок</w:t>
      </w: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 молочных и сосок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-п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устышек должна наноситься на закрытую упаковку и содержать гарантийный срок службы, инструкцию по использованию, хранению, гигиеническому уходу за изделием.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Маркировка посуды</w:t>
      </w: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 и изделий санитарно-гигиенических и галантерейных должна содержать обозначение материала, из которого изготовлено изделие, и инструкцию по эксплуатации и уходу.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Маркировка обуви</w:t>
      </w: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 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Маркировка ранцев</w:t>
      </w: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 ученических, сумок, портфелей и рюкзаков должна содержать информацию о возрасте пользователя </w:t>
      </w: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Маркировка колясок</w:t>
      </w: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 детских должна содержать информацию о гарантийном сроке эксплуатации и хранения.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Маркировка игрушек</w:t>
      </w: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 должна содержать следующую информацию: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наименование игрушки;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наименование страны, где изготовлена игрушка;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наименование и местонахождение изготовителя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(уполномоченного изготовителем лица), импортера, информацию для связи с ними;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товарный знак изготовителя (при наличии);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lastRenderedPageBreak/>
        <w:t>- минимальный возраст ребенка, для которого предназначена игрушка или пиктограмма, обозначающая возраст ребенка;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основной конструкционный материал (для детей до 3 лет) (при необходимости);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способы ухода за игрушкой (при необходимости);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дата изготовления (месяц, год);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срок службы или срок годности (при их установлении);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условия хранения (при необходимости).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В зависимости от вида игрушки в содержание маркировки, включают: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Комплектность (для наборов),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Правила эксплуатации игрушки,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Способы гигиенической обработки,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Меры безопасности при обращении с игрушкой,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Предупредительные надписи,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- Инструкцию по сборке.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Приобретая продукцию для детей и игрушки, в том числе посредством трансграничной интернет – торговли, следует обратить внимание на отдельные предостережения, которые содержатся в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ТР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ТС 007/2011 и ТР ТС 008/2011.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Например, </w:t>
      </w: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изделия для ухода за детьми</w:t>
      </w: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 должны соответствовать </w:t>
      </w: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следующим общим требованиям безопасности</w:t>
      </w: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: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- изделия для новорожденных и бельевые изделия для детей в возрасте до 1 года должны быть изготовлены из натуральных материалов, за исключением наполнителей (см. пункт 5 статьи 5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ТР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ТС 007/2011) и сопровождаться информацией "Предварительная стирка обязательна";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- соединительные швы с обметыванием срезов в бельевых изделиях для новорожденных должны быть выполнены на лицевую сторону (см. пункт 5 статьи 5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ТР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ТС 007/2011);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- внешние и декоративные элементы в изделиях для новорожденных и бельевых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 (см. пункт 5 статьи 5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ТР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ТС 007/2011);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- изготовление детской посуды, имеющей контакт с пищевыми продуктами, с применением поликарбоната, поливинилхлорида, меламина не допускается (см. пункт 3 статьи 5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ТР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ТС 007/2011).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lastRenderedPageBreak/>
        <w:t>Предупредительная информация должна содержать указание об особых мерах предосторожности при использовании: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Одно из основных требований безопасности игрушек </w:t>
      </w: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предусматривает, что не допускается поверхностное окрашивание и роспись игрушек-погремушек и игрушек, контактирующих со ртом ребенка.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Приобретая товары для детей посредством трансграничной интернет 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–т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орговли, доставка которых осуществляется, как правило, через международную почтовую связь, ВЫ берете на себя ответственность за последствия, которые могут возникнуть в случае нарушения ВАШИХ прав как потребителя, поскольку такой способ продажи товаров исключает возможность применения своевременных мер воздействия со стороны органов </w:t>
      </w:r>
      <w:proofErr w:type="spell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Роспотребнадзора</w:t>
      </w:r>
      <w:proofErr w:type="spell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.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 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 </w:t>
      </w:r>
    </w:p>
    <w:p w:rsidR="001C5569" w:rsidRPr="005F0972" w:rsidRDefault="001C5569" w:rsidP="001C556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Уважаемые потребители! По интересующим Вас вопросам Вы можете обратиться по телефону горячей линии </w:t>
      </w:r>
      <w:proofErr w:type="spell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Роспотребнадзора</w:t>
      </w:r>
      <w:proofErr w:type="spell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по Московской области</w:t>
      </w:r>
      <w:proofErr w:type="gramStart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:</w:t>
      </w:r>
      <w:proofErr w:type="gramEnd"/>
      <w:r w:rsidRPr="005F0972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 </w:t>
      </w:r>
      <w:r w:rsidRPr="005F0972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8-800-511-58-98</w:t>
      </w:r>
    </w:p>
    <w:p w:rsidR="001C5569" w:rsidRDefault="001C5569" w:rsidP="001C5569"/>
    <w:p w:rsidR="008C5478" w:rsidRDefault="008C5478">
      <w:bookmarkStart w:id="0" w:name="_GoBack"/>
      <w:bookmarkEnd w:id="0"/>
    </w:p>
    <w:sectPr w:rsidR="008C5478" w:rsidSect="006B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69"/>
    <w:rsid w:val="00044D17"/>
    <w:rsid w:val="001C5569"/>
    <w:rsid w:val="006B5107"/>
    <w:rsid w:val="008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2018-02-19T10:46:00Z</dcterms:created>
  <dcterms:modified xsi:type="dcterms:W3CDTF">2018-02-19T10:46:00Z</dcterms:modified>
</cp:coreProperties>
</file>