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E6" w:rsidRPr="007175E6" w:rsidRDefault="007175E6" w:rsidP="007175E6">
      <w:pPr>
        <w:pStyle w:val="a3"/>
        <w:jc w:val="center"/>
        <w:rPr>
          <w:b/>
        </w:rPr>
      </w:pPr>
      <w:r w:rsidRPr="007175E6">
        <w:rPr>
          <w:b/>
        </w:rPr>
        <w:t>Постановление Главы Талдомского городского округа</w:t>
      </w:r>
    </w:p>
    <w:p w:rsidR="007175E6" w:rsidRPr="007175E6" w:rsidRDefault="007175E6" w:rsidP="007175E6">
      <w:pPr>
        <w:pStyle w:val="a3"/>
        <w:jc w:val="center"/>
        <w:rPr>
          <w:b/>
        </w:rPr>
      </w:pPr>
      <w:r w:rsidRPr="007175E6">
        <w:rPr>
          <w:b/>
        </w:rPr>
        <w:t>от 02.11.2018 года №2049</w:t>
      </w:r>
    </w:p>
    <w:p w:rsidR="007175E6" w:rsidRDefault="007175E6" w:rsidP="007175E6">
      <w:pPr>
        <w:pStyle w:val="a3"/>
        <w:spacing w:before="0" w:beforeAutospacing="0" w:after="0" w:afterAutospacing="0"/>
      </w:pPr>
      <w:r>
        <w:t xml:space="preserve">Об утверждении размера платы за содержание </w:t>
      </w:r>
    </w:p>
    <w:p w:rsidR="007175E6" w:rsidRDefault="007175E6" w:rsidP="007175E6">
      <w:pPr>
        <w:pStyle w:val="a3"/>
        <w:spacing w:before="0" w:beforeAutospacing="0" w:after="0" w:afterAutospacing="0"/>
      </w:pPr>
      <w:r>
        <w:t xml:space="preserve">жилого помещения для нанимателей жилых </w:t>
      </w:r>
    </w:p>
    <w:p w:rsidR="007175E6" w:rsidRDefault="007175E6" w:rsidP="007175E6">
      <w:pPr>
        <w:pStyle w:val="a3"/>
        <w:spacing w:before="0" w:beforeAutospacing="0" w:after="0" w:afterAutospacing="0"/>
      </w:pPr>
      <w:r>
        <w:t xml:space="preserve">помещений по договорам социального найма </w:t>
      </w:r>
    </w:p>
    <w:p w:rsidR="007175E6" w:rsidRDefault="007175E6" w:rsidP="007175E6">
      <w:pPr>
        <w:pStyle w:val="a3"/>
        <w:spacing w:before="0" w:beforeAutospacing="0" w:after="0" w:afterAutospacing="0"/>
      </w:pPr>
      <w:r>
        <w:t xml:space="preserve">и договорам найма жилых помещений </w:t>
      </w:r>
    </w:p>
    <w:p w:rsidR="007175E6" w:rsidRDefault="007175E6" w:rsidP="007175E6">
      <w:pPr>
        <w:pStyle w:val="a3"/>
        <w:spacing w:before="0" w:beforeAutospacing="0" w:after="0" w:afterAutospacing="0"/>
      </w:pPr>
      <w:r>
        <w:t xml:space="preserve">муниципального жилищного фонда, </w:t>
      </w:r>
      <w:proofErr w:type="gramStart"/>
      <w:r>
        <w:t>для</w:t>
      </w:r>
      <w:proofErr w:type="gramEnd"/>
      <w:r>
        <w:t xml:space="preserve"> </w:t>
      </w:r>
    </w:p>
    <w:p w:rsidR="007175E6" w:rsidRDefault="007175E6" w:rsidP="007175E6">
      <w:pPr>
        <w:pStyle w:val="a3"/>
        <w:spacing w:before="0" w:beforeAutospacing="0" w:after="0" w:afterAutospacing="0"/>
      </w:pPr>
      <w:r>
        <w:t xml:space="preserve">собственников жилых помещений, которые </w:t>
      </w:r>
    </w:p>
    <w:p w:rsidR="007175E6" w:rsidRDefault="007175E6" w:rsidP="007175E6">
      <w:pPr>
        <w:pStyle w:val="a3"/>
        <w:spacing w:before="0" w:beforeAutospacing="0" w:after="0" w:afterAutospacing="0"/>
      </w:pPr>
      <w:r>
        <w:t xml:space="preserve">не приняли решение о выборе способа управления </w:t>
      </w:r>
    </w:p>
    <w:p w:rsidR="007175E6" w:rsidRDefault="007175E6" w:rsidP="007175E6">
      <w:pPr>
        <w:pStyle w:val="a3"/>
        <w:spacing w:before="0" w:beforeAutospacing="0" w:after="0" w:afterAutospacing="0"/>
      </w:pPr>
      <w:r>
        <w:t xml:space="preserve">многоквартирным домом, а также для собственников </w:t>
      </w:r>
    </w:p>
    <w:p w:rsidR="007175E6" w:rsidRDefault="007175E6" w:rsidP="007175E6">
      <w:pPr>
        <w:pStyle w:val="a3"/>
        <w:spacing w:before="0" w:beforeAutospacing="0" w:after="0" w:afterAutospacing="0"/>
      </w:pPr>
      <w:r>
        <w:t xml:space="preserve">помещений, которые на их общем собрании не приняли </w:t>
      </w:r>
    </w:p>
    <w:p w:rsidR="007175E6" w:rsidRDefault="007175E6" w:rsidP="007175E6">
      <w:pPr>
        <w:pStyle w:val="a3"/>
        <w:spacing w:before="0" w:beforeAutospacing="0" w:after="0" w:afterAutospacing="0"/>
      </w:pPr>
      <w:r>
        <w:t xml:space="preserve">решение об установлении размера платы за содержание </w:t>
      </w:r>
    </w:p>
    <w:p w:rsidR="007175E6" w:rsidRDefault="007175E6" w:rsidP="007175E6">
      <w:pPr>
        <w:pStyle w:val="a3"/>
        <w:spacing w:before="0" w:beforeAutospacing="0" w:after="0" w:afterAutospacing="0"/>
      </w:pPr>
      <w:r>
        <w:t xml:space="preserve">жилого помещения, на территории с. Великий Двор, </w:t>
      </w:r>
    </w:p>
    <w:p w:rsidR="007175E6" w:rsidRDefault="007175E6" w:rsidP="007175E6">
      <w:pPr>
        <w:pStyle w:val="a3"/>
        <w:spacing w:before="0" w:beforeAutospacing="0" w:after="0" w:afterAutospacing="0"/>
      </w:pPr>
      <w:proofErr w:type="spellStart"/>
      <w:r>
        <w:t>с</w:t>
      </w:r>
      <w:proofErr w:type="gramStart"/>
      <w:r>
        <w:t>.К</w:t>
      </w:r>
      <w:proofErr w:type="gramEnd"/>
      <w:r>
        <w:t>вашенки</w:t>
      </w:r>
      <w:proofErr w:type="spellEnd"/>
      <w:r>
        <w:t xml:space="preserve">, </w:t>
      </w:r>
      <w:proofErr w:type="spellStart"/>
      <w:r>
        <w:t>с.Николо-Кропотки</w:t>
      </w:r>
      <w:proofErr w:type="spellEnd"/>
      <w:r>
        <w:t xml:space="preserve">, </w:t>
      </w:r>
      <w:proofErr w:type="spellStart"/>
      <w:r>
        <w:t>с.Новогуслево</w:t>
      </w:r>
      <w:proofErr w:type="spellEnd"/>
      <w:r>
        <w:t xml:space="preserve">, </w:t>
      </w:r>
    </w:p>
    <w:p w:rsidR="007175E6" w:rsidRDefault="007175E6" w:rsidP="007175E6">
      <w:pPr>
        <w:pStyle w:val="a3"/>
        <w:spacing w:before="0" w:beforeAutospacing="0" w:after="0" w:afterAutospacing="0"/>
      </w:pPr>
      <w:proofErr w:type="spellStart"/>
      <w:r>
        <w:t>с</w:t>
      </w:r>
      <w:proofErr w:type="gramStart"/>
      <w:r>
        <w:t>.Н</w:t>
      </w:r>
      <w:proofErr w:type="gramEnd"/>
      <w:r>
        <w:t>овоникольское</w:t>
      </w:r>
      <w:proofErr w:type="spellEnd"/>
      <w:r>
        <w:t xml:space="preserve">, </w:t>
      </w:r>
      <w:proofErr w:type="spellStart"/>
      <w:r>
        <w:t>с.Темпы</w:t>
      </w:r>
      <w:proofErr w:type="spellEnd"/>
      <w:r>
        <w:t xml:space="preserve">, </w:t>
      </w:r>
      <w:proofErr w:type="spellStart"/>
      <w:r>
        <w:t>д.Воргаш</w:t>
      </w:r>
      <w:proofErr w:type="spellEnd"/>
      <w:r>
        <w:t xml:space="preserve">, </w:t>
      </w:r>
      <w:proofErr w:type="spellStart"/>
      <w:r>
        <w:t>д.Григорово</w:t>
      </w:r>
      <w:proofErr w:type="spellEnd"/>
      <w:r>
        <w:t xml:space="preserve">, </w:t>
      </w:r>
    </w:p>
    <w:p w:rsidR="007175E6" w:rsidRDefault="007175E6" w:rsidP="007175E6">
      <w:pPr>
        <w:pStyle w:val="a3"/>
        <w:spacing w:before="0" w:beforeAutospacing="0" w:after="0" w:afterAutospacing="0"/>
      </w:pPr>
      <w:proofErr w:type="spellStart"/>
      <w:r>
        <w:t>д</w:t>
      </w:r>
      <w:proofErr w:type="gramStart"/>
      <w:r>
        <w:t>.Е</w:t>
      </w:r>
      <w:proofErr w:type="gramEnd"/>
      <w:r>
        <w:t>рмолино</w:t>
      </w:r>
      <w:proofErr w:type="spellEnd"/>
      <w:r>
        <w:t xml:space="preserve">, </w:t>
      </w:r>
      <w:proofErr w:type="spellStart"/>
      <w:r>
        <w:t>д.Кошелево</w:t>
      </w:r>
      <w:proofErr w:type="spellEnd"/>
      <w:r>
        <w:t xml:space="preserve">, </w:t>
      </w:r>
      <w:proofErr w:type="spellStart"/>
      <w:r>
        <w:t>д.Павловичи</w:t>
      </w:r>
      <w:proofErr w:type="spellEnd"/>
      <w:r>
        <w:t xml:space="preserve">, </w:t>
      </w:r>
      <w:proofErr w:type="spellStart"/>
      <w:r>
        <w:t>д.Пановка</w:t>
      </w:r>
      <w:proofErr w:type="spellEnd"/>
      <w:r>
        <w:t xml:space="preserve">, </w:t>
      </w:r>
    </w:p>
    <w:p w:rsidR="007175E6" w:rsidRDefault="007175E6" w:rsidP="007175E6">
      <w:pPr>
        <w:pStyle w:val="a3"/>
        <w:spacing w:before="0" w:beforeAutospacing="0" w:after="0" w:afterAutospacing="0"/>
      </w:pPr>
      <w:proofErr w:type="spellStart"/>
      <w:r>
        <w:t>д</w:t>
      </w:r>
      <w:proofErr w:type="gramStart"/>
      <w:r>
        <w:t>.Ю</w:t>
      </w:r>
      <w:proofErr w:type="gramEnd"/>
      <w:r>
        <w:t>ркино</w:t>
      </w:r>
      <w:proofErr w:type="spellEnd"/>
      <w:r>
        <w:t xml:space="preserve">, входящих в состав Талдомского </w:t>
      </w:r>
    </w:p>
    <w:p w:rsidR="007175E6" w:rsidRDefault="007175E6" w:rsidP="007175E6">
      <w:pPr>
        <w:pStyle w:val="a3"/>
        <w:spacing w:before="0" w:beforeAutospacing="0" w:after="0" w:afterAutospacing="0"/>
      </w:pPr>
      <w:r>
        <w:t xml:space="preserve">городского округа Московской области </w:t>
      </w:r>
    </w:p>
    <w:p w:rsidR="007175E6" w:rsidRDefault="007175E6" w:rsidP="007175E6">
      <w:pPr>
        <w:pStyle w:val="a3"/>
      </w:pPr>
      <w:proofErr w:type="gramStart"/>
      <w:r>
        <w:t>В соответствии с Жилищным кодексом Российской Федерации, п. 8.1 статьи 23 Федерального Закона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распоряжением Министерства жилищно-коммунального хозяйства Московской области от 30.10.2015 № 255-РВ «Об утверждении стандартов по управлению многоквартирными домами</w:t>
      </w:r>
      <w:proofErr w:type="gramEnd"/>
      <w:r>
        <w:t xml:space="preserve"> в Московской области» </w:t>
      </w:r>
    </w:p>
    <w:p w:rsidR="007175E6" w:rsidRPr="007175E6" w:rsidRDefault="007175E6" w:rsidP="007175E6">
      <w:pPr>
        <w:pStyle w:val="a3"/>
        <w:jc w:val="center"/>
        <w:rPr>
          <w:b/>
        </w:rPr>
      </w:pPr>
      <w:r w:rsidRPr="007175E6">
        <w:rPr>
          <w:b/>
        </w:rPr>
        <w:t>постановляю:</w:t>
      </w:r>
    </w:p>
    <w:p w:rsidR="007175E6" w:rsidRDefault="007175E6" w:rsidP="007175E6">
      <w:pPr>
        <w:pStyle w:val="a3"/>
      </w:pPr>
      <w:r>
        <w:t xml:space="preserve">1. </w:t>
      </w:r>
      <w:proofErr w:type="gramStart"/>
      <w:r>
        <w:t>Утвердить прилагаемый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помещения, на</w:t>
      </w:r>
      <w:proofErr w:type="gramEnd"/>
      <w:r>
        <w:t xml:space="preserve"> территории </w:t>
      </w:r>
      <w:proofErr w:type="spellStart"/>
      <w:r>
        <w:t>с</w:t>
      </w:r>
      <w:proofErr w:type="gramStart"/>
      <w:r>
        <w:t>.В</w:t>
      </w:r>
      <w:proofErr w:type="gramEnd"/>
      <w:r>
        <w:t>еликий</w:t>
      </w:r>
      <w:proofErr w:type="spellEnd"/>
      <w:r>
        <w:t xml:space="preserve"> Двор, </w:t>
      </w:r>
      <w:proofErr w:type="spellStart"/>
      <w:r>
        <w:t>с.Квашенки</w:t>
      </w:r>
      <w:proofErr w:type="spellEnd"/>
      <w:r>
        <w:t xml:space="preserve">, </w:t>
      </w:r>
      <w:proofErr w:type="spellStart"/>
      <w:r>
        <w:t>с.Николо-Кропотки</w:t>
      </w:r>
      <w:proofErr w:type="spellEnd"/>
      <w:r>
        <w:t xml:space="preserve">, </w:t>
      </w:r>
      <w:proofErr w:type="spellStart"/>
      <w:r>
        <w:t>с.Новогуслево</w:t>
      </w:r>
      <w:proofErr w:type="spellEnd"/>
      <w:r>
        <w:t xml:space="preserve">, </w:t>
      </w:r>
      <w:proofErr w:type="spellStart"/>
      <w:r>
        <w:t>с.Новоникольское</w:t>
      </w:r>
      <w:proofErr w:type="spellEnd"/>
      <w:r>
        <w:t xml:space="preserve">, </w:t>
      </w:r>
      <w:proofErr w:type="spellStart"/>
      <w:r>
        <w:t>с.Темпы</w:t>
      </w:r>
      <w:proofErr w:type="spellEnd"/>
      <w:r>
        <w:t xml:space="preserve">, </w:t>
      </w:r>
      <w:proofErr w:type="spellStart"/>
      <w:r>
        <w:t>д.Воргаш</w:t>
      </w:r>
      <w:proofErr w:type="spellEnd"/>
      <w:r>
        <w:t xml:space="preserve">, </w:t>
      </w:r>
      <w:proofErr w:type="spellStart"/>
      <w:r>
        <w:t>д.Григорово</w:t>
      </w:r>
      <w:proofErr w:type="spellEnd"/>
      <w:r>
        <w:t xml:space="preserve">, </w:t>
      </w:r>
      <w:proofErr w:type="spellStart"/>
      <w:r>
        <w:t>д.Ермолино</w:t>
      </w:r>
      <w:proofErr w:type="spellEnd"/>
      <w:r>
        <w:t xml:space="preserve">, </w:t>
      </w:r>
      <w:proofErr w:type="spellStart"/>
      <w:r>
        <w:t>д.Кошелево</w:t>
      </w:r>
      <w:proofErr w:type="spellEnd"/>
      <w:r>
        <w:t xml:space="preserve">, </w:t>
      </w:r>
      <w:proofErr w:type="spellStart"/>
      <w:r>
        <w:t>д.Павловичи</w:t>
      </w:r>
      <w:proofErr w:type="spellEnd"/>
      <w:r>
        <w:t xml:space="preserve">, </w:t>
      </w:r>
      <w:proofErr w:type="spellStart"/>
      <w:r>
        <w:t>д.Пановка</w:t>
      </w:r>
      <w:proofErr w:type="spellEnd"/>
      <w:r>
        <w:t xml:space="preserve">, </w:t>
      </w:r>
      <w:proofErr w:type="spellStart"/>
      <w:r>
        <w:t>д.Юркино</w:t>
      </w:r>
      <w:proofErr w:type="spellEnd"/>
      <w:r>
        <w:t xml:space="preserve">, входящих в состав Талдомского городского округа Московской области (далее – размер платы за содержание жилого помещения). </w:t>
      </w:r>
    </w:p>
    <w:p w:rsidR="007175E6" w:rsidRDefault="007175E6" w:rsidP="007175E6">
      <w:pPr>
        <w:pStyle w:val="a3"/>
      </w:pPr>
      <w:r>
        <w:t xml:space="preserve">2. Отметить, что: </w:t>
      </w:r>
    </w:p>
    <w:p w:rsidR="007175E6" w:rsidRDefault="007175E6" w:rsidP="007175E6">
      <w:pPr>
        <w:pStyle w:val="a3"/>
      </w:pPr>
      <w:r>
        <w:t>2.1. Стоимость услуг по сбору, транспортировке и утилизации (утилизация, обезвреживание и захоронение) твердых бытовых отходов и крупногабаритного мусора (далее – ТБО, КГМ) с 01.01.2019 исключена из платы за содержание жилого помещения в размере 4,79 руб./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в связи с включением в состав платы за коммунальные услуги, оказываемые потребителям коммунальных услуг в многоквартирном доме, платы за коммунальную услугу по обращению с твердыми коммунальными отходами (далее – ТКО). </w:t>
      </w:r>
    </w:p>
    <w:p w:rsidR="007175E6" w:rsidRDefault="007175E6" w:rsidP="007175E6">
      <w:pPr>
        <w:pStyle w:val="a3"/>
      </w:pPr>
      <w:r>
        <w:lastRenderedPageBreak/>
        <w:t xml:space="preserve">2.2. </w:t>
      </w:r>
      <w:proofErr w:type="gramStart"/>
      <w:r>
        <w:t xml:space="preserve">Тарифы на услуги региональных операторов по обращению с твердыми коммунальными отходами на территории Московской области (далее – Региональный </w:t>
      </w:r>
      <w:proofErr w:type="gramEnd"/>
    </w:p>
    <w:p w:rsidR="007175E6" w:rsidRDefault="007175E6" w:rsidP="007175E6">
      <w:pPr>
        <w:pStyle w:val="a3"/>
      </w:pPr>
      <w:r>
        <w:t xml:space="preserve">оператор ТКО) утверждены постановлением Правительства Московской области от 02.10.2018 № 690/34 «Об утверждении предельных единых тарифов на услуги региональных операторов по обращению с твердыми коммунальными отходами на территории Московской области». </w:t>
      </w:r>
    </w:p>
    <w:p w:rsidR="007175E6" w:rsidRDefault="007175E6" w:rsidP="007175E6">
      <w:pPr>
        <w:pStyle w:val="a3"/>
      </w:pPr>
      <w:r>
        <w:t xml:space="preserve">3. Установить, что: </w:t>
      </w:r>
    </w:p>
    <w:p w:rsidR="007175E6" w:rsidRDefault="007175E6" w:rsidP="007175E6">
      <w:pPr>
        <w:pStyle w:val="a3"/>
      </w:pPr>
      <w:r>
        <w:t>3.1. В случае</w:t>
      </w:r>
      <w:proofErr w:type="gramStart"/>
      <w:r>
        <w:t>,</w:t>
      </w:r>
      <w:proofErr w:type="gramEnd"/>
      <w:r>
        <w:t xml:space="preserve"> если документально подтвержденные фактические среднемесячные расходы за второе полугодие 2018 года за услугу по сбору, транспортировке и утилизации (утилизация, обезвреживание и захоронение) ТБО и КГМ, понесенные управляющей организацией, товариществом собственников жилья, жилищным кооперативом и иным специализированным потребительским кооперативом (далее – УО) в составе платы за содержание жилого помещения, превышают стоимость услуги по обращению с ТКО, указанную в пункте 2.1 настоящего постановления, то размер платы за содержание жилого помещения также подлежит уменьшению на разницу между фактической платой УО за услугу по сбору, транспортировке и утилизации (утилизация, обезвреживание и захоронение) ТБО и КГМ и платой, указанной в пункте 2.1 настоящего постановления. </w:t>
      </w:r>
    </w:p>
    <w:p w:rsidR="007175E6" w:rsidRDefault="007175E6" w:rsidP="007175E6">
      <w:pPr>
        <w:pStyle w:val="a3"/>
      </w:pPr>
      <w:r>
        <w:t>3.2. В случае</w:t>
      </w:r>
      <w:proofErr w:type="gramStart"/>
      <w:r>
        <w:t>,</w:t>
      </w:r>
      <w:proofErr w:type="gramEnd"/>
      <w:r>
        <w:t xml:space="preserve"> если документально подтвержденные фактические среднемесячные расходы за второе полугодие 2018 года за услугу по сбору, транспортировке и утилизации (утилизация, обезвреживание и захоронение) ТБО и КГМ понесенные УО в составе платы за содержание жилого помещения, ниже стоимости услуги по обращению с ТКО, указанной в пункте 2.1 настоящего постановления, то данная разница за 2019 год подлежит возмещению УО в рамках государственных и муниципальных программ Московской области в порядке, установленном Бюджетным кодексом Российской Федерации. </w:t>
      </w:r>
    </w:p>
    <w:p w:rsidR="007175E6" w:rsidRDefault="007175E6" w:rsidP="007175E6">
      <w:pPr>
        <w:pStyle w:val="a3"/>
      </w:pPr>
      <w:r>
        <w:t xml:space="preserve">4. Рекомендовать УО не позднее 01.12.2018 года довести до сведения собственников помещений в многоквартирных домах об изменении размера платы за содержание жилого помещения. </w:t>
      </w:r>
    </w:p>
    <w:p w:rsidR="007175E6" w:rsidRDefault="007175E6" w:rsidP="007175E6">
      <w:pPr>
        <w:pStyle w:val="a3"/>
      </w:pPr>
      <w:r>
        <w:t xml:space="preserve">5. Опубликовать настоящее постановление в общественно-политической газете «Заря» и разместить на официальном сайте администрации Талдомского городского округа Московской области. </w:t>
      </w:r>
    </w:p>
    <w:p w:rsidR="007175E6" w:rsidRDefault="007175E6" w:rsidP="007175E6">
      <w:pPr>
        <w:pStyle w:val="a3"/>
      </w:pPr>
      <w:r>
        <w:t xml:space="preserve">6. Настоящее постановление вступает в силу с 01.01.2019 года. </w:t>
      </w:r>
    </w:p>
    <w:p w:rsidR="007175E6" w:rsidRDefault="007175E6" w:rsidP="007175E6">
      <w:pPr>
        <w:pStyle w:val="a3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заместителя главы администрации Талдомского городского округа </w:t>
      </w:r>
      <w:proofErr w:type="spellStart"/>
      <w:r>
        <w:t>Мухаммийзянова</w:t>
      </w:r>
      <w:proofErr w:type="spellEnd"/>
      <w:r>
        <w:t xml:space="preserve"> М.М. </w:t>
      </w:r>
    </w:p>
    <w:p w:rsidR="007175E6" w:rsidRDefault="007175E6" w:rsidP="007175E6">
      <w:pPr>
        <w:pStyle w:val="a3"/>
      </w:pPr>
      <w:r>
        <w:t xml:space="preserve">Глава Талдомского городского округа </w:t>
      </w:r>
      <w:proofErr w:type="spellStart"/>
      <w:r>
        <w:t>В.Ю.Юдин</w:t>
      </w:r>
      <w:proofErr w:type="spellEnd"/>
      <w:r>
        <w:t xml:space="preserve"> </w:t>
      </w:r>
    </w:p>
    <w:p w:rsidR="007175E6" w:rsidRPr="007175E6" w:rsidRDefault="007175E6" w:rsidP="007175E6">
      <w:pPr>
        <w:pStyle w:val="a3"/>
        <w:jc w:val="right"/>
        <w:rPr>
          <w:b/>
        </w:rPr>
      </w:pPr>
      <w:r w:rsidRPr="007175E6">
        <w:rPr>
          <w:b/>
        </w:rPr>
        <w:t>УТВЕРЖДЕН</w:t>
      </w:r>
    </w:p>
    <w:p w:rsidR="007175E6" w:rsidRPr="007175E6" w:rsidRDefault="007175E6" w:rsidP="007175E6">
      <w:pPr>
        <w:pStyle w:val="a3"/>
        <w:jc w:val="center"/>
        <w:rPr>
          <w:b/>
        </w:rPr>
      </w:pPr>
      <w:r w:rsidRPr="007175E6">
        <w:rPr>
          <w:b/>
        </w:rPr>
        <w:t>постановлением главы Талдомского городского округа</w:t>
      </w:r>
    </w:p>
    <w:p w:rsidR="007175E6" w:rsidRPr="007175E6" w:rsidRDefault="007175E6" w:rsidP="007175E6">
      <w:pPr>
        <w:pStyle w:val="a3"/>
        <w:jc w:val="center"/>
        <w:rPr>
          <w:b/>
        </w:rPr>
      </w:pPr>
      <w:r w:rsidRPr="007175E6">
        <w:rPr>
          <w:b/>
        </w:rPr>
        <w:t>Московской области от 02.11.2018 года №2049</w:t>
      </w:r>
    </w:p>
    <w:p w:rsidR="007175E6" w:rsidRDefault="007175E6" w:rsidP="007175E6">
      <w:pPr>
        <w:pStyle w:val="a3"/>
        <w:jc w:val="center"/>
        <w:rPr>
          <w:b/>
        </w:rPr>
      </w:pPr>
    </w:p>
    <w:p w:rsidR="007175E6" w:rsidRPr="007175E6" w:rsidRDefault="007175E6" w:rsidP="007175E6">
      <w:pPr>
        <w:pStyle w:val="a3"/>
        <w:jc w:val="center"/>
        <w:rPr>
          <w:b/>
        </w:rPr>
      </w:pPr>
      <w:bookmarkStart w:id="0" w:name="_GoBack"/>
      <w:bookmarkEnd w:id="0"/>
      <w:r w:rsidRPr="007175E6">
        <w:rPr>
          <w:b/>
        </w:rPr>
        <w:lastRenderedPageBreak/>
        <w:t>РАЗМЕР</w:t>
      </w:r>
    </w:p>
    <w:p w:rsidR="007175E6" w:rsidRPr="007175E6" w:rsidRDefault="007175E6" w:rsidP="007175E6">
      <w:pPr>
        <w:pStyle w:val="a3"/>
        <w:jc w:val="center"/>
        <w:rPr>
          <w:b/>
        </w:rPr>
      </w:pPr>
      <w:r w:rsidRPr="007175E6">
        <w:rPr>
          <w:b/>
        </w:rPr>
        <w:t xml:space="preserve">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помещения, на территории </w:t>
      </w:r>
      <w:proofErr w:type="spellStart"/>
      <w:r w:rsidRPr="007175E6">
        <w:rPr>
          <w:b/>
        </w:rPr>
        <w:t>с</w:t>
      </w:r>
      <w:proofErr w:type="gramStart"/>
      <w:r w:rsidRPr="007175E6">
        <w:rPr>
          <w:b/>
        </w:rPr>
        <w:t>.В</w:t>
      </w:r>
      <w:proofErr w:type="gramEnd"/>
      <w:r w:rsidRPr="007175E6">
        <w:rPr>
          <w:b/>
        </w:rPr>
        <w:t>еликий</w:t>
      </w:r>
      <w:proofErr w:type="spellEnd"/>
      <w:r w:rsidRPr="007175E6">
        <w:rPr>
          <w:b/>
        </w:rPr>
        <w:t xml:space="preserve"> Двор, </w:t>
      </w:r>
      <w:proofErr w:type="spellStart"/>
      <w:r w:rsidRPr="007175E6">
        <w:rPr>
          <w:b/>
        </w:rPr>
        <w:t>с</w:t>
      </w:r>
      <w:proofErr w:type="gramStart"/>
      <w:r w:rsidRPr="007175E6">
        <w:rPr>
          <w:b/>
        </w:rPr>
        <w:t>.К</w:t>
      </w:r>
      <w:proofErr w:type="gramEnd"/>
      <w:r w:rsidRPr="007175E6">
        <w:rPr>
          <w:b/>
        </w:rPr>
        <w:t>вашенки</w:t>
      </w:r>
      <w:proofErr w:type="spellEnd"/>
      <w:r w:rsidRPr="007175E6">
        <w:rPr>
          <w:b/>
        </w:rPr>
        <w:t xml:space="preserve">, </w:t>
      </w:r>
      <w:proofErr w:type="spellStart"/>
      <w:r w:rsidRPr="007175E6">
        <w:rPr>
          <w:b/>
        </w:rPr>
        <w:t>с.Николо-Кропотки</w:t>
      </w:r>
      <w:proofErr w:type="spellEnd"/>
      <w:r w:rsidRPr="007175E6">
        <w:rPr>
          <w:b/>
        </w:rPr>
        <w:t xml:space="preserve">, </w:t>
      </w:r>
      <w:proofErr w:type="spellStart"/>
      <w:r w:rsidRPr="007175E6">
        <w:rPr>
          <w:b/>
        </w:rPr>
        <w:t>с.Новогуслево</w:t>
      </w:r>
      <w:proofErr w:type="spellEnd"/>
      <w:r w:rsidRPr="007175E6">
        <w:rPr>
          <w:b/>
        </w:rPr>
        <w:t xml:space="preserve">, </w:t>
      </w:r>
      <w:proofErr w:type="spellStart"/>
      <w:r w:rsidRPr="007175E6">
        <w:rPr>
          <w:b/>
        </w:rPr>
        <w:t>с.Новоникольское</w:t>
      </w:r>
      <w:proofErr w:type="spellEnd"/>
      <w:r w:rsidRPr="007175E6">
        <w:rPr>
          <w:b/>
        </w:rPr>
        <w:t xml:space="preserve">, </w:t>
      </w:r>
      <w:proofErr w:type="spellStart"/>
      <w:r w:rsidRPr="007175E6">
        <w:rPr>
          <w:b/>
        </w:rPr>
        <w:t>с.Темпы</w:t>
      </w:r>
      <w:proofErr w:type="spellEnd"/>
      <w:r w:rsidRPr="007175E6">
        <w:rPr>
          <w:b/>
        </w:rPr>
        <w:t xml:space="preserve">, </w:t>
      </w:r>
      <w:proofErr w:type="spellStart"/>
      <w:r w:rsidRPr="007175E6">
        <w:rPr>
          <w:b/>
        </w:rPr>
        <w:t>д.Воргаш</w:t>
      </w:r>
      <w:proofErr w:type="spellEnd"/>
      <w:r w:rsidRPr="007175E6">
        <w:rPr>
          <w:b/>
        </w:rPr>
        <w:t xml:space="preserve">, </w:t>
      </w:r>
      <w:proofErr w:type="spellStart"/>
      <w:r w:rsidRPr="007175E6">
        <w:rPr>
          <w:b/>
        </w:rPr>
        <w:t>д.Григорово</w:t>
      </w:r>
      <w:proofErr w:type="spellEnd"/>
      <w:r w:rsidRPr="007175E6">
        <w:rPr>
          <w:b/>
        </w:rPr>
        <w:t xml:space="preserve">, </w:t>
      </w:r>
      <w:proofErr w:type="spellStart"/>
      <w:r w:rsidRPr="007175E6">
        <w:rPr>
          <w:b/>
        </w:rPr>
        <w:t>д.Ермолино</w:t>
      </w:r>
      <w:proofErr w:type="spellEnd"/>
      <w:r w:rsidRPr="007175E6">
        <w:rPr>
          <w:b/>
        </w:rPr>
        <w:t xml:space="preserve">, </w:t>
      </w:r>
      <w:proofErr w:type="spellStart"/>
      <w:r w:rsidRPr="007175E6">
        <w:rPr>
          <w:b/>
        </w:rPr>
        <w:t>д.Кошелево</w:t>
      </w:r>
      <w:proofErr w:type="spellEnd"/>
      <w:r w:rsidRPr="007175E6">
        <w:rPr>
          <w:b/>
        </w:rPr>
        <w:t xml:space="preserve">, </w:t>
      </w:r>
      <w:proofErr w:type="spellStart"/>
      <w:r w:rsidRPr="007175E6">
        <w:rPr>
          <w:b/>
        </w:rPr>
        <w:t>д.Павловичи</w:t>
      </w:r>
      <w:proofErr w:type="spellEnd"/>
      <w:r w:rsidRPr="007175E6">
        <w:rPr>
          <w:b/>
        </w:rPr>
        <w:t xml:space="preserve">, </w:t>
      </w:r>
      <w:proofErr w:type="spellStart"/>
      <w:r w:rsidRPr="007175E6">
        <w:rPr>
          <w:b/>
        </w:rPr>
        <w:t>д.Пановка</w:t>
      </w:r>
      <w:proofErr w:type="spellEnd"/>
      <w:r w:rsidRPr="007175E6">
        <w:rPr>
          <w:b/>
        </w:rPr>
        <w:t xml:space="preserve">, </w:t>
      </w:r>
      <w:proofErr w:type="spellStart"/>
      <w:r w:rsidRPr="007175E6">
        <w:rPr>
          <w:b/>
        </w:rPr>
        <w:t>д.Юркино</w:t>
      </w:r>
      <w:proofErr w:type="spellEnd"/>
      <w:r w:rsidRPr="007175E6">
        <w:rPr>
          <w:b/>
        </w:rPr>
        <w:t>, входящих в состав Талдомского городского округа Московской области</w:t>
      </w:r>
    </w:p>
    <w:p w:rsidR="007175E6" w:rsidRDefault="007175E6" w:rsidP="007175E6">
      <w:pPr>
        <w:pStyle w:val="a3"/>
      </w:pPr>
      <w:r>
        <w:t xml:space="preserve">№ </w:t>
      </w:r>
      <w:proofErr w:type="gramStart"/>
      <w:r>
        <w:t>п</w:t>
      </w:r>
      <w:proofErr w:type="gramEnd"/>
      <w:r>
        <w:t xml:space="preserve">/п Вид благоустройства МКД Размер платы с НДС (руб./в месяц) </w:t>
      </w:r>
    </w:p>
    <w:p w:rsidR="007175E6" w:rsidRDefault="007175E6" w:rsidP="007175E6">
      <w:pPr>
        <w:pStyle w:val="a3"/>
      </w:pPr>
      <w:r>
        <w:t xml:space="preserve">Жилые дома со всеми видами благоустройства </w:t>
      </w:r>
    </w:p>
    <w:p w:rsidR="007175E6" w:rsidRDefault="007175E6" w:rsidP="007175E6">
      <w:pPr>
        <w:pStyle w:val="a3"/>
      </w:pPr>
      <w:r>
        <w:t xml:space="preserve">1 - без лифта и мусоропровода 21,47 </w:t>
      </w:r>
    </w:p>
    <w:p w:rsidR="007175E6" w:rsidRDefault="007175E6" w:rsidP="007175E6">
      <w:pPr>
        <w:pStyle w:val="a3"/>
      </w:pPr>
      <w:r>
        <w:t xml:space="preserve">Жилые дома, имеющие не все виды благоустройства </w:t>
      </w:r>
    </w:p>
    <w:p w:rsidR="007175E6" w:rsidRDefault="007175E6" w:rsidP="007175E6">
      <w:pPr>
        <w:pStyle w:val="a3"/>
      </w:pPr>
      <w:r>
        <w:t xml:space="preserve">2 - без одного вида удобств 20,65 </w:t>
      </w:r>
    </w:p>
    <w:p w:rsidR="007175E6" w:rsidRDefault="007175E6" w:rsidP="007175E6">
      <w:pPr>
        <w:pStyle w:val="a3"/>
      </w:pPr>
      <w:r>
        <w:t xml:space="preserve">2.1 - без двух и более видов удобств 17,60 </w:t>
      </w:r>
    </w:p>
    <w:p w:rsidR="007175E6" w:rsidRDefault="007175E6" w:rsidP="007175E6">
      <w:pPr>
        <w:pStyle w:val="a3"/>
      </w:pPr>
      <w:r>
        <w:t xml:space="preserve">2.2 - с износом основных конструкций более 60% 17,53 </w:t>
      </w:r>
    </w:p>
    <w:p w:rsidR="007175E6" w:rsidRDefault="007175E6" w:rsidP="007175E6">
      <w:pPr>
        <w:pStyle w:val="a3"/>
      </w:pPr>
      <w:r>
        <w:t xml:space="preserve">2.3 - деревянные жилые дома без удобств 8,96 </w:t>
      </w:r>
    </w:p>
    <w:p w:rsidR="007175E6" w:rsidRDefault="007175E6" w:rsidP="007175E6">
      <w:pPr>
        <w:pStyle w:val="a3"/>
      </w:pPr>
      <w:r>
        <w:t xml:space="preserve">Примечание: </w:t>
      </w:r>
    </w:p>
    <w:p w:rsidR="007175E6" w:rsidRDefault="007175E6" w:rsidP="007175E6">
      <w:pPr>
        <w:pStyle w:val="a3"/>
      </w:pPr>
      <w:r>
        <w:t xml:space="preserve">Многоквартирные или жилые дома, имеющие все виды благоустройства, - это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ванными (душем). </w:t>
      </w:r>
    </w:p>
    <w:p w:rsidR="007175E6" w:rsidRDefault="007175E6" w:rsidP="007175E6">
      <w:pPr>
        <w:pStyle w:val="a3"/>
      </w:pPr>
      <w:r>
        <w:t xml:space="preserve">Многоквартирные или жилые дома, имеющие не все виды благоустройства, - дома, в которых отсутствует один или несколько из видов оборудования. </w:t>
      </w:r>
    </w:p>
    <w:p w:rsidR="007175E6" w:rsidRDefault="007175E6" w:rsidP="007175E6">
      <w:pPr>
        <w:pStyle w:val="a3"/>
      </w:pPr>
      <w:proofErr w:type="gramStart"/>
      <w:r>
        <w:t>Стоимость услуг по сбору, транспортировке и утилизации (утилизация, обезвреживание и захоронение) ТБО и КГМ в размере 4,79 руб./</w:t>
      </w:r>
      <w:proofErr w:type="spellStart"/>
      <w:r>
        <w:t>кв.м</w:t>
      </w:r>
      <w:proofErr w:type="spellEnd"/>
      <w:r>
        <w:t xml:space="preserve">. с 01.01.2019 исключена из платы за содержание жилого помещения в связи с включением в состав платы за коммунальные услуги, оказываемые потребителям коммунальных услуг в многоквартирном доме, платы за коммунальную услугу по обращению с твердыми коммунальными отходами. </w:t>
      </w:r>
      <w:proofErr w:type="gramEnd"/>
    </w:p>
    <w:p w:rsidR="007175E6" w:rsidRDefault="007175E6" w:rsidP="007175E6">
      <w:pPr>
        <w:pStyle w:val="a3"/>
      </w:pPr>
      <w:r>
        <w:t xml:space="preserve">Расходы на коммунальные ресурсы в целях содержания общего имущества в многоквартирном доме не учтены и определяются в соответствии с положениями Жилищного кодекса Российской Федерации и распоряжением Министерства ЖКХ МО от 22.05.2017 № 63-РВ «Об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области». Расходы на коммунальные ресурсы в целях содержания общего имущества в </w:t>
      </w:r>
      <w:r>
        <w:lastRenderedPageBreak/>
        <w:t xml:space="preserve">многоквартирном доме не начисляются гражданам в составе платы за содержание жилого помещения в случаях, предусмотренных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 </w:t>
      </w:r>
      <w:proofErr w:type="gramStart"/>
      <w:r>
        <w:t xml:space="preserve">Расходы за коммунальные ресурсы в целях содержания общего имущества в многоквартирном доме не начисляются потребителям, которым плата за коммунальные услуги по холодному и горячему водоснабжению начисляется по утвержденным органом местного самоуправления нормативам потребления коммунальных услуг по холодному и горячему водоснабжению, в которых учтен объем коммунальных ресурсов на общедомовые нужды. </w:t>
      </w:r>
      <w:proofErr w:type="gramEnd"/>
    </w:p>
    <w:p w:rsidR="007175E6" w:rsidRDefault="007175E6" w:rsidP="007175E6">
      <w:pPr>
        <w:pStyle w:val="a3"/>
      </w:pPr>
      <w:r>
        <w:t>Н</w:t>
      </w:r>
      <w:proofErr w:type="gramStart"/>
      <w:r>
        <w:t>ДС в пл</w:t>
      </w:r>
      <w:proofErr w:type="gramEnd"/>
      <w:r>
        <w:t>ате за содержание жилого помещения учтен в размере 20%.</w:t>
      </w:r>
    </w:p>
    <w:p w:rsidR="004A00F5" w:rsidRDefault="004A00F5"/>
    <w:sectPr w:rsidR="004A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E6"/>
    <w:rsid w:val="00044D17"/>
    <w:rsid w:val="004A00F5"/>
    <w:rsid w:val="006B5107"/>
    <w:rsid w:val="0071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dcterms:created xsi:type="dcterms:W3CDTF">2018-11-21T09:29:00Z</dcterms:created>
  <dcterms:modified xsi:type="dcterms:W3CDTF">2018-11-21T09:31:00Z</dcterms:modified>
</cp:coreProperties>
</file>